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102.pdf" ContentType="application/pdf"/>
  <Override PartName="/word/media/rId120.pdf" ContentType="application/pdf"/>
  <Override PartName="/word/media/rId125.pdf" ContentType="application/pdf"/>
  <Override PartName="/word/media/rId130.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w:t>
      </w:r>
      <w:r>
        <w:t xml:space="preserve"> </w:t>
      </w:r>
      <w:r>
        <w:t xml:space="preserve">the</w:t>
      </w:r>
      <w:r>
        <w:t xml:space="preserve"> </w:t>
      </w:r>
      <w:r>
        <w:t xml:space="preserve">skin</w:t>
      </w:r>
    </w:p>
    <w:p>
      <w:pPr>
        <w:pStyle w:val="Subtitle"/>
      </w:pPr>
      <w:r>
        <w:t xml:space="preserve">Early-life</w:t>
      </w:r>
      <w:r>
        <w:t xml:space="preserve"> </w:t>
      </w:r>
      <w:r>
        <w:t xml:space="preserve">stress</w:t>
      </w:r>
      <w:r>
        <w:t xml:space="preserve"> </w:t>
      </w:r>
      <w:r>
        <w:t xml:space="preserve">exposure</w:t>
      </w:r>
      <w:r>
        <w:t xml:space="preserve"> </w:t>
      </w:r>
      <w:r>
        <w:t xml:space="preserve">and</w:t>
      </w:r>
      <w:r>
        <w:t xml:space="preserve"> </w:t>
      </w:r>
      <w:r>
        <w:t xml:space="preserve">the</w:t>
      </w:r>
      <w:r>
        <w:t xml:space="preserve"> </w:t>
      </w:r>
      <w:r>
        <w:t xml:space="preserve">co-occurrence</w:t>
      </w:r>
      <w:r>
        <w:t xml:space="preserve"> </w:t>
      </w:r>
      <w:r>
        <w:t xml:space="preserve">of</w:t>
      </w:r>
      <w:r>
        <w:t xml:space="preserve"> </w:t>
      </w:r>
      <w:r>
        <w:t xml:space="preserve">mental</w:t>
      </w:r>
      <w:r>
        <w:t xml:space="preserve"> </w:t>
      </w:r>
      <w:r>
        <w:t xml:space="preserve">and</w:t>
      </w:r>
      <w:r>
        <w:t xml:space="preserve"> </w:t>
      </w:r>
      <w:r>
        <w:t xml:space="preserve">physical</w:t>
      </w:r>
      <w:r>
        <w:t xml:space="preserve"> </w:t>
      </w:r>
      <w:r>
        <w:t xml:space="preserve">health</w:t>
      </w:r>
      <w:r>
        <w:t xml:space="preserve"> </w:t>
      </w:r>
      <w:r>
        <w:t xml:space="preserve">problems</w:t>
      </w:r>
    </w:p>
    <w:p>
      <w:pPr>
        <w:pStyle w:val="Author"/>
      </w:pPr>
      <w:r>
        <w:t xml:space="preserve">Serena</w:t>
      </w:r>
      <w:r>
        <w:t xml:space="preserve"> </w:t>
      </w:r>
      <w:r>
        <w:t xml:space="preserve">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p>
      <w:pPr>
        <w:pStyle w:val="BodyText"/>
      </w:pPr>
      <w:r>
        <w:rPr>
          <w:iCs/>
          <w:i/>
        </w:rPr>
        <w:t xml:space="preserve">“</w:t>
      </w:r>
      <w:r>
        <w:rPr>
          <w:iCs/>
          <w:i/>
        </w:rPr>
        <w:t xml:space="preserve">In the depth of winter, I found there was, within me, an invincible summer.</w:t>
      </w:r>
      <w:r>
        <w:rPr>
          <w:iCs/>
          <w:i/>
        </w:rPr>
        <w:t xml:space="preserve">”</w:t>
      </w:r>
      <w:r>
        <w:t xml:space="preserve"> </w:t>
      </w:r>
      <w:r>
        <w:t xml:space="preserve">Albert Camus – Summer (1954)</w:t>
      </w:r>
    </w:p>
    <w:bookmarkEnd w:id="24"/>
    <w:bookmarkStart w:id="91"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Cs/>
          <w:i/>
        </w:rPr>
        <w:t xml:space="preserve">“</w:t>
      </w:r>
      <w:r>
        <w:rPr>
          <w:iCs/>
          <w:i/>
        </w:rPr>
        <w:t xml:space="preserve">critical</w:t>
      </w:r>
      <w:r>
        <w:rPr>
          <w:iCs/>
          <w:i/>
        </w:rPr>
        <w:t xml:space="preserve">”</w:t>
      </w:r>
      <w:r>
        <w:rPr>
          <w:iCs/>
          <w:i/>
        </w:rPr>
        <w:t xml:space="preserve"> </w:t>
      </w:r>
      <w:r>
        <w:rPr>
          <w:iCs/>
          <w:i/>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w:t>
      </w:r>
      <w:r>
        <w:t xml:space="preserve">Early-Life Stress</w:t>
      </w:r>
      <w:r>
        <w:t xml:space="preserve">”</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w:t>
      </w:r>
      <w:r>
        <w:t xml:space="preserve">childhood trauma</w:t>
      </w:r>
      <w:r>
        <w:t xml:space="preserve">”</w:t>
      </w:r>
      <w:r>
        <w:t xml:space="preserve">,</w:t>
      </w:r>
      <w:r>
        <w:t xml:space="preserve"> </w:t>
      </w:r>
      <w:r>
        <w:t xml:space="preserve">“</w:t>
      </w:r>
      <w:r>
        <w:t xml:space="preserve">maltreatment</w:t>
      </w:r>
      <w:r>
        <w:t xml:space="preserve">”</w:t>
      </w:r>
      <w:r>
        <w:t xml:space="preserve">,</w:t>
      </w:r>
      <w:r>
        <w:t xml:space="preserve"> </w:t>
      </w:r>
      <w:r>
        <w:t xml:space="preserve">“</w:t>
      </w:r>
      <w:r>
        <w:t xml:space="preserve">early adversity</w:t>
      </w:r>
      <w:r>
        <w:t xml:space="preserve">”</w:t>
      </w:r>
      <w:r>
        <w:t xml:space="preserve">, or</w:t>
      </w:r>
      <w:r>
        <w:t xml:space="preserve"> </w:t>
      </w:r>
      <w:r>
        <w:t xml:space="preserve">“</w:t>
      </w:r>
      <w:r>
        <w:t xml:space="preserve">adverse childhood experiences</w:t>
      </w:r>
      <w:r>
        <w:t xml:space="preserve">”</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Cs/>
          <w:i/>
        </w:rPr>
        <w:t xml:space="preserve">a)</w:t>
      </w:r>
      <w:r>
        <w:t xml:space="preserve"> </w:t>
      </w:r>
      <w:r>
        <w:t xml:space="preserve">ELS and mental health,</w:t>
      </w:r>
      <w:r>
        <w:t xml:space="preserve"> </w:t>
      </w:r>
      <w:r>
        <w:rPr>
          <w:iCs/>
          <w:i/>
        </w:rPr>
        <w:t xml:space="preserve">b)</w:t>
      </w:r>
      <w:r>
        <w:t xml:space="preserve"> </w:t>
      </w:r>
      <w:r>
        <w:t xml:space="preserve">ELS and cardio-metabolic health, and</w:t>
      </w:r>
      <w:r>
        <w:t xml:space="preserve"> </w:t>
      </w:r>
      <w:r>
        <w:rPr>
          <w:iCs/>
          <w:i/>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ook w:firstRow="0" w:lastRow="0" w:firstColumn="0" w:lastColumn="0" w:noHBand="0" w:noVBand="0" w:val="0000"/>
        <w:jc w:val="start"/>
        <w:tblLayout w:type="fixed"/>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Cs/>
                <w:b/>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w:t>
      </w:r>
      <w:r>
        <w:t xml:space="preserve">side</w:t>
      </w:r>
      <w:r>
        <w:t xml:space="preserv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Cs/>
          <w:b/>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Cs/>
          <w:i/>
        </w:rPr>
        <w:t xml:space="preserve">a)</w:t>
      </w:r>
      <w:r>
        <w:t xml:space="preserve"> </w:t>
      </w:r>
      <w:r>
        <w:t xml:space="preserve">internalizing symptoms,</w:t>
      </w:r>
      <w:r>
        <w:t xml:space="preserve"> </w:t>
      </w:r>
      <w:r>
        <w:rPr>
          <w:iCs/>
          <w:i/>
        </w:rPr>
        <w:t xml:space="preserve">b)</w:t>
      </w:r>
      <w:r>
        <w:t xml:space="preserve"> </w:t>
      </w:r>
      <w:r>
        <w:t xml:space="preserve">adiposity, and</w:t>
      </w:r>
      <w:r>
        <w:t xml:space="preserve"> </w:t>
      </w:r>
      <w:r>
        <w:rPr>
          <w:iCs/>
          <w:i/>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w:t>
      </w:r>
      <w:r>
        <w:t xml:space="preserve">biological scars</w:t>
      </w:r>
      <w:r>
        <w:t xml:space="preserve">”</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Cs/>
          <w:b/>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90" w:name="references"/>
    <w:p>
      <w:pPr>
        <w:pStyle w:val="Heading2"/>
      </w:pPr>
      <w:r>
        <w:t xml:space="preserve">References</w:t>
      </w:r>
    </w:p>
    <w:bookmarkStart w:id="89"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Cs/>
          <w:i/>
        </w:rPr>
        <w:t xml:space="preserve">Psychiatry Investig</w:t>
      </w:r>
      <w:r>
        <w:t xml:space="preserve">,</w:t>
      </w:r>
      <w:r>
        <w:t xml:space="preserve"> </w:t>
      </w:r>
      <w:r>
        <w:rPr>
          <w:iCs/>
          <w:i/>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Cs/>
          <w:i/>
        </w:rPr>
        <w:t xml:space="preserve">Psychological Medicine</w:t>
      </w:r>
      <w:r>
        <w:t xml:space="preserve">,</w:t>
      </w:r>
      <w:r>
        <w:t xml:space="preserve"> </w:t>
      </w:r>
      <w:r>
        <w:rPr>
          <w:iCs/>
          <w:i/>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Cs/>
          <w:i/>
        </w:rPr>
        <w:t xml:space="preserve">Psychological Bulletin</w:t>
      </w:r>
      <w:r>
        <w:t xml:space="preserve">,</w:t>
      </w:r>
      <w:r>
        <w:t xml:space="preserve"> </w:t>
      </w:r>
      <w:r>
        <w:rPr>
          <w:iCs/>
          <w:i/>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Cs/>
          <w:i/>
        </w:rPr>
        <w:t xml:space="preserve">Brazilian Journal of Psychiatry</w:t>
      </w:r>
      <w:r>
        <w:t xml:space="preserve">,</w:t>
      </w:r>
      <w:r>
        <w:t xml:space="preserve"> </w:t>
      </w:r>
      <w:r>
        <w:rPr>
          <w:iCs/>
          <w:i/>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Cs/>
          <w:i/>
        </w:rPr>
        <w:t xml:space="preserve">The Lancet Public Health</w:t>
      </w:r>
      <w:r>
        <w:t xml:space="preserve">,</w:t>
      </w:r>
      <w:r>
        <w:t xml:space="preserve"> </w:t>
      </w:r>
      <w:r>
        <w:rPr>
          <w:iCs/>
          <w:i/>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Cs/>
          <w:i/>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60">
        <w:r>
          <w:rPr>
            <w:rStyle w:val="Hyperlink"/>
          </w:rPr>
          <w:t xml:space="preserve">https://doi.org/10.1177/15248380221102558</w:t>
        </w:r>
      </w:hyperlink>
    </w:p>
    <w:bookmarkEnd w:id="61"/>
    <w:bookmarkStart w:id="63"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62">
        <w:r>
          <w:rPr>
            <w:rStyle w:val="Hyperlink"/>
          </w:rPr>
          <w:t xml:space="preserve">https://doi.org/10.1001/archgenpsychiatry.2010.2</w:t>
        </w:r>
      </w:hyperlink>
    </w:p>
    <w:bookmarkEnd w:id="63"/>
    <w:bookmarkStart w:id="65"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64">
        <w:r>
          <w:rPr>
            <w:rStyle w:val="Hyperlink"/>
          </w:rPr>
          <w:t xml:space="preserve">https://doi.org/10.1001/jamapediatrics.2024.4385</w:t>
        </w:r>
      </w:hyperlink>
    </w:p>
    <w:bookmarkEnd w:id="65"/>
    <w:bookmarkStart w:id="67"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66">
        <w:r>
          <w:rPr>
            <w:rStyle w:val="Hyperlink"/>
          </w:rPr>
          <w:t xml:space="preserve">https://doi.org/10.1016/j.ajp.2015.12.008</w:t>
        </w:r>
      </w:hyperlink>
    </w:p>
    <w:bookmarkEnd w:id="67"/>
    <w:bookmarkStart w:id="69" w:name="ref-Milaneschi2019"/>
    <w:p>
      <w:pPr>
        <w:pStyle w:val="BodyText"/>
      </w:pPr>
      <w:r>
        <w:t xml:space="preserve">Milaneschi, Y., Simmons, W. K., Rossum, E. F. C. van, &amp; Penninx, B. W. J. H. (2019). Depression and obesity: Evidence of shared biological mechanisms [Journal Article].</w:t>
      </w:r>
      <w:r>
        <w:t xml:space="preserve"> </w:t>
      </w:r>
      <w:r>
        <w:rPr>
          <w:iCs/>
          <w:i/>
        </w:rPr>
        <w:t xml:space="preserve">Molecular Psychiatry</w:t>
      </w:r>
      <w:r>
        <w:t xml:space="preserve">,</w:t>
      </w:r>
      <w:r>
        <w:t xml:space="preserve"> </w:t>
      </w:r>
      <w:r>
        <w:rPr>
          <w:iCs/>
          <w:i/>
        </w:rPr>
        <w:t xml:space="preserve">24</w:t>
      </w:r>
      <w:r>
        <w:t xml:space="preserve">(1), 18–33.</w:t>
      </w:r>
      <w:r>
        <w:t xml:space="preserve"> </w:t>
      </w:r>
      <w:hyperlink r:id="rId68">
        <w:r>
          <w:rPr>
            <w:rStyle w:val="Hyperlink"/>
          </w:rPr>
          <w:t xml:space="preserve">https://doi.org/10.1038/s41380-018-0017-5</w:t>
        </w:r>
      </w:hyperlink>
    </w:p>
    <w:bookmarkEnd w:id="69"/>
    <w:bookmarkStart w:id="71" w:name="ref-NCD-RisC2017"/>
    <w:p>
      <w:pPr>
        <w:pStyle w:val="BodyText"/>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Cs/>
          <w:i/>
        </w:rPr>
        <w:t xml:space="preserve">Lancet</w:t>
      </w:r>
      <w:r>
        <w:t xml:space="preserve">,</w:t>
      </w:r>
      <w:r>
        <w:t xml:space="preserve"> </w:t>
      </w:r>
      <w:r>
        <w:rPr>
          <w:iCs/>
          <w:i/>
        </w:rPr>
        <w:t xml:space="preserve">390</w:t>
      </w:r>
      <w:r>
        <w:t xml:space="preserve">(10113), 2627–2642.</w:t>
      </w:r>
      <w:r>
        <w:t xml:space="preserve"> </w:t>
      </w:r>
      <w:hyperlink r:id="rId70">
        <w:r>
          <w:rPr>
            <w:rStyle w:val="Hyperlink"/>
          </w:rPr>
          <w:t xml:space="preserve">https://doi.org/10.1016/s0140-6736(17)32129-3</w:t>
        </w:r>
      </w:hyperlink>
    </w:p>
    <w:bookmarkEnd w:id="71"/>
    <w:bookmarkStart w:id="73"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Cs/>
          <w:i/>
        </w:rPr>
        <w:t xml:space="preserve">Int J Epidemiol</w:t>
      </w:r>
      <w:r>
        <w:t xml:space="preserve">,</w:t>
      </w:r>
      <w:r>
        <w:t xml:space="preserve"> </w:t>
      </w:r>
      <w:r>
        <w:rPr>
          <w:iCs/>
          <w:i/>
        </w:rPr>
        <w:t xml:space="preserve">48</w:t>
      </w:r>
      <w:r>
        <w:t xml:space="preserve">(5), 1650–1664.</w:t>
      </w:r>
      <w:r>
        <w:t xml:space="preserve"> </w:t>
      </w:r>
      <w:hyperlink r:id="rId72">
        <w:r>
          <w:rPr>
            <w:rStyle w:val="Hyperlink"/>
          </w:rPr>
          <w:t xml:space="preserve">https://doi.org/10.1093/ije/dyz006</w:t>
        </w:r>
      </w:hyperlink>
    </w:p>
    <w:bookmarkEnd w:id="73"/>
    <w:bookmarkStart w:id="75"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74">
        <w:r>
          <w:rPr>
            <w:rStyle w:val="Hyperlink"/>
          </w:rPr>
          <w:t xml:space="preserve">https://doi.org/10.1001/archpsyc.58.3.221</w:t>
        </w:r>
      </w:hyperlink>
    </w:p>
    <w:bookmarkEnd w:id="75"/>
    <w:bookmarkStart w:id="77"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Cs/>
          <w:i/>
        </w:rPr>
        <w:t xml:space="preserve">Journal of Child Psychology and Psychiatry</w:t>
      </w:r>
      <w:r>
        <w:t xml:space="preserve">,</w:t>
      </w:r>
      <w:r>
        <w:t xml:space="preserve"> </w:t>
      </w:r>
      <w:r>
        <w:rPr>
          <w:iCs/>
          <w:i/>
        </w:rPr>
        <w:t xml:space="preserve">57</w:t>
      </w:r>
      <w:r>
        <w:t xml:space="preserve">(10), 1103–1112.</w:t>
      </w:r>
      <w:r>
        <w:t xml:space="preserve"> </w:t>
      </w:r>
      <w:hyperlink r:id="rId76">
        <w:r>
          <w:rPr>
            <w:rStyle w:val="Hyperlink"/>
          </w:rPr>
          <w:t xml:space="preserve">https://doi.org/10.1111/jcpp.12621</w:t>
        </w:r>
      </w:hyperlink>
    </w:p>
    <w:bookmarkEnd w:id="77"/>
    <w:bookmarkStart w:id="79"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on behalf of the. (2023). Depression, cardiometabolic disease, and their co-occurrence after childhood maltreatment: An individual participant data meta-analysis including over 200,000 participants [Journal Article].</w:t>
      </w:r>
      <w:r>
        <w:t xml:space="preserve"> </w:t>
      </w:r>
      <w:r>
        <w:rPr>
          <w:iCs/>
          <w:i/>
        </w:rPr>
        <w:t xml:space="preserve">BMC Medicine</w:t>
      </w:r>
      <w:r>
        <w:t xml:space="preserve">,</w:t>
      </w:r>
      <w:r>
        <w:t xml:space="preserve"> </w:t>
      </w:r>
      <w:r>
        <w:rPr>
          <w:iCs/>
          <w:i/>
        </w:rPr>
        <w:t xml:space="preserve">21</w:t>
      </w:r>
      <w:r>
        <w:t xml:space="preserve">(1), 93.</w:t>
      </w:r>
      <w:r>
        <w:t xml:space="preserve"> </w:t>
      </w:r>
      <w:hyperlink r:id="rId78">
        <w:r>
          <w:rPr>
            <w:rStyle w:val="Hyperlink"/>
          </w:rPr>
          <w:t xml:space="preserve">https://doi.org/10.1186/s12916-023-02769-y</w:t>
        </w:r>
      </w:hyperlink>
    </w:p>
    <w:bookmarkEnd w:id="79"/>
    <w:bookmarkStart w:id="81"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80">
        <w:r>
          <w:rPr>
            <w:rStyle w:val="Hyperlink"/>
          </w:rPr>
          <w:t xml:space="preserve">https://doi.org/10.1002/gps.1723</w:t>
        </w:r>
      </w:hyperlink>
    </w:p>
    <w:bookmarkEnd w:id="81"/>
    <w:bookmarkStart w:id="82" w:name="ref-WHO2022"/>
    <w:p>
      <w:pPr>
        <w:pStyle w:val="BodyText"/>
      </w:pPr>
      <w:r>
        <w:t xml:space="preserve">WHO, W. H. O. (2022).</w:t>
      </w:r>
      <w:r>
        <w:t xml:space="preserve"> </w:t>
      </w:r>
      <w:r>
        <w:rPr>
          <w:iCs/>
          <w:i/>
        </w:rPr>
        <w:t xml:space="preserve">WHO european regional obesity report 2022</w:t>
      </w:r>
      <w:r>
        <w:t xml:space="preserve"> </w:t>
      </w:r>
      <w:r>
        <w:t xml:space="preserve">[Book]. World Health Organization. Regional Office for Europe.</w:t>
      </w:r>
    </w:p>
    <w:bookmarkEnd w:id="82"/>
    <w:bookmarkStart w:id="84"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83">
        <w:r>
          <w:rPr>
            <w:rStyle w:val="Hyperlink"/>
          </w:rPr>
          <w:t xml:space="preserve">https://doi.org/10.1016/j.physbeh.2020.112964</w:t>
        </w:r>
      </w:hyperlink>
    </w:p>
    <w:bookmarkEnd w:id="84"/>
    <w:bookmarkStart w:id="86"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85">
        <w:r>
          <w:rPr>
            <w:rStyle w:val="Hyperlink"/>
          </w:rPr>
          <w:t xml:space="preserve">https://doi.org/10.1016/j.jacasi.2024.06.004</w:t>
        </w:r>
      </w:hyperlink>
    </w:p>
    <w:bookmarkEnd w:id="86"/>
    <w:bookmarkStart w:id="88"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87">
        <w:r>
          <w:rPr>
            <w:rStyle w:val="Hyperlink"/>
          </w:rPr>
          <w:t xml:space="preserve">https://doi.org/10.7189/jogh.12.04082</w:t>
        </w:r>
      </w:hyperlink>
    </w:p>
    <w:bookmarkEnd w:id="88"/>
    <w:bookmarkEnd w:id="89"/>
    <w:bookmarkEnd w:id="90"/>
    <w:bookmarkEnd w:id="91"/>
    <w:bookmarkStart w:id="215" w:name="sec-chapter2"/>
    <w:p>
      <w:pPr>
        <w:pStyle w:val="Heading1"/>
      </w:pPr>
      <w:r>
        <w:t xml:space="preserve">2. ELS and adolescent psycho-physical health</w:t>
      </w:r>
    </w:p>
    <w:p>
      <w:pPr>
        <w:pStyle w:val="FirstParagraph"/>
      </w:pPr>
      <w:r>
        <w:t xml:space="preserve">Adapted from:</w:t>
      </w:r>
    </w:p>
    <w:p>
      <w:pPr>
        <w:pStyle w:val="BodyText"/>
      </w:pPr>
      <w:r>
        <w:rPr>
          <w:bCs/>
          <w:b/>
        </w:rPr>
        <w:t xml:space="preserve">Differential effects of pre- and postnatal early-life stress on internalizing, adiposity and their comorbidity</w:t>
      </w:r>
    </w:p>
    <w:p>
      <w:pPr>
        <w:pStyle w:val="BodyText"/>
      </w:pPr>
      <w:r>
        <w:rPr>
          <w:bCs/>
          <w:b/>
        </w:rPr>
        <w:t xml:space="preserve">Defina, S.</w:t>
      </w:r>
      <w:r>
        <w:t xml:space="preserve">, Woofenden, T., Baltramonaityte, V., Pariante, C. M., Lekadir, K., Jaddoe, V. W., Serdarevic, F., Tiemeier, H., Walton, E., Felix, J. F., &amp; Cecil, C. A. M., *on behalf of the EarlyCause Consortium. (2023).</w:t>
      </w:r>
      <w:r>
        <w:t xml:space="preserve"> </w:t>
      </w:r>
      <w:r>
        <w:rPr>
          <w:iCs/>
          <w:i/>
        </w:rPr>
        <w:t xml:space="preserve">JAACAP</w:t>
      </w:r>
      <w:r>
        <w:t xml:space="preserve">.</w:t>
      </w:r>
      <w:r>
        <w:t xml:space="preserve"> </w:t>
      </w:r>
      <w:hyperlink r:id="rId92">
        <w:r>
          <w:rPr>
            <w:rStyle w:val="Hyperlink"/>
          </w:rPr>
          <w:t xml:space="preserve">DOI</w:t>
        </w:r>
      </w:hyperlink>
    </w:p>
    <w:bookmarkStart w:id="96" w:name="links"/>
    <w:p>
      <w:pPr>
        <w:pStyle w:val="Heading2"/>
      </w:pPr>
      <w:r>
        <w:t xml:space="preserve">Links</w:t>
      </w:r>
    </w:p>
    <w:p>
      <w:pPr>
        <w:numPr>
          <w:ilvl w:val="0"/>
          <w:numId w:val="1001"/>
        </w:numPr>
        <w:pStyle w:val="Compact"/>
      </w:pPr>
      <w:hyperlink r:id="rId93">
        <w:r>
          <w:rPr>
            <w:rStyle w:val="Hyperlink"/>
          </w:rPr>
          <w:t xml:space="preserve">Project’s code</w:t>
        </w:r>
      </w:hyperlink>
    </w:p>
    <w:p>
      <w:pPr>
        <w:numPr>
          <w:ilvl w:val="0"/>
          <w:numId w:val="1001"/>
        </w:numPr>
        <w:pStyle w:val="Compact"/>
      </w:pPr>
      <w:hyperlink r:id="rId94">
        <w:r>
          <w:rPr>
            <w:rStyle w:val="Hyperlink"/>
          </w:rPr>
          <w:t xml:space="preserve">Supplementary materials</w:t>
        </w:r>
      </w:hyperlink>
    </w:p>
    <w:p>
      <w:pPr>
        <w:numPr>
          <w:ilvl w:val="0"/>
          <w:numId w:val="1001"/>
        </w:numPr>
        <w:pStyle w:val="Compact"/>
      </w:pPr>
      <w:hyperlink r:id="rId95">
        <w:r>
          <w:rPr>
            <w:rStyle w:val="Hyperlink"/>
          </w:rPr>
          <w:t xml:space="preserve">ELS score GitHub repository</w:t>
        </w:r>
      </w:hyperlink>
    </w:p>
    <w:bookmarkEnd w:id="96"/>
    <w:bookmarkStart w:id="97"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Cs/>
          <w:i/>
        </w:rPr>
        <w:t xml:space="preserve">(i)</w:t>
      </w:r>
      <w:r>
        <w:t xml:space="preserve"> </w:t>
      </w:r>
      <w:r>
        <w:t xml:space="preserve">associations differ depending on the timing of stress exposure (prenatal vs postnatal) and</w:t>
      </w:r>
      <w:r>
        <w:t xml:space="preserve"> </w:t>
      </w:r>
      <w:r>
        <w:rPr>
          <w:iCs/>
          <w:i/>
        </w:rPr>
        <w:t xml:space="preserve">(ii)</w:t>
      </w:r>
      <w:r>
        <w:t xml:space="preserve"> </w:t>
      </w:r>
      <w:r>
        <w:t xml:space="preserve">ELS is a shared risk factor underlying the comorbidity between the two conditions.</w:t>
      </w:r>
    </w:p>
    <w:p>
      <w:pPr>
        <w:pStyle w:val="BodyText"/>
      </w:pPr>
      <w:r>
        <w:rPr>
          <w:u w:val="single"/>
        </w:rPr>
        <w:t xml:space="preserve">Method</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Cs/>
          <w:i/>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w:t>
      </w:r>
      <w:r>
        <w:t xml:space="preserve">: We found evidence of</w:t>
      </w:r>
      <w:r>
        <w:t xml:space="preserve"> </w:t>
      </w:r>
      <w:r>
        <w:rPr>
          <w:iCs/>
          <w:i/>
        </w:rPr>
        <w:t xml:space="preserve">(i)</w:t>
      </w:r>
      <w:r>
        <w:t xml:space="preserve"> </w:t>
      </w:r>
      <w:r>
        <w:t xml:space="preserve">timing and</w:t>
      </w:r>
      <w:r>
        <w:t xml:space="preserve"> </w:t>
      </w:r>
      <w:r>
        <w:rPr>
          <w:iCs/>
          <w:i/>
        </w:rPr>
        <w:t xml:space="preserve">(ii)</w:t>
      </w:r>
      <w:r>
        <w:t xml:space="preserve"> </w:t>
      </w:r>
      <w:r>
        <w:t xml:space="preserve">shared causal effects of ELS on psycho-cardiometabolic health in adolescence, but future research is warranted to clarify how these associations may unfold over time.</w:t>
      </w:r>
    </w:p>
    <w:bookmarkEnd w:id="97"/>
    <w:bookmarkStart w:id="98"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Cs/>
          <w:i/>
        </w:rPr>
        <w:t xml:space="preserve">(a)</w:t>
      </w:r>
      <w:r>
        <w:t xml:space="preserve"> </w:t>
      </w:r>
      <w:r>
        <w:t xml:space="preserve">previously reported postnatal associations may partly reflect preceding prenatal exposures (i.e., prenatal ELS as confounder), and</w:t>
      </w:r>
      <w:r>
        <w:t xml:space="preserve"> </w:t>
      </w:r>
      <w:r>
        <w:rPr>
          <w:iCs/>
          <w:i/>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w:t>
      </w:r>
      <w:r>
        <w:t xml:space="preserve">multisystemic</w:t>
      </w:r>
      <w:r>
        <w:t xml:space="preserve">”</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Cs/>
          <w:i/>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Cs/>
          <w:i/>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98"/>
    <w:bookmarkStart w:id="117"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1"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99">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0"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0"/>
    <w:bookmarkEnd w:id="101"/>
    <w:bookmarkStart w:id="111" w:name="measures"/>
    <w:p>
      <w:pPr>
        <w:pStyle w:val="Heading3"/>
      </w:pPr>
      <w:r>
        <w:t xml:space="preserve">Measures</w:t>
      </w:r>
    </w:p>
    <w:bookmarkStart w:id="106"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w:t>
      </w:r>
      <w:r>
        <w:t xml:space="preserve">postnatal</w:t>
      </w:r>
      <w:r>
        <w:t xml:space="preserve">”</w:t>
      </w:r>
      <w:r>
        <w:t xml:space="preserve"> </w:t>
      </w:r>
      <w:r>
        <w:t xml:space="preserve">(in contrast to</w:t>
      </w:r>
      <w:r>
        <w:t xml:space="preserve"> </w:t>
      </w:r>
      <w:r>
        <w:t xml:space="preserve">“</w:t>
      </w:r>
      <w:r>
        <w:t xml:space="preserve">prenatal</w:t>
      </w:r>
      <w:r>
        <w:t xml:space="preserve">”</w:t>
      </w:r>
      <w:r>
        <w:t xml:space="preserve">) to encompass stressors experienced across childhood (i.e., until the age of 10 years), rather than immediately following birth. A detailed description of the ELS scores is provided in online</w:t>
      </w:r>
      <w:r>
        <w:t xml:space="preserve"> </w:t>
      </w:r>
      <w:r>
        <w:rPr>
          <w:bCs/>
          <w:b/>
        </w:rPr>
        <w:t xml:space="preserve">Supplement 1</w:t>
      </w:r>
      <w:r>
        <w:t xml:space="preserve"> </w:t>
      </w:r>
      <w:r>
        <w:t xml:space="preserve">(see also the score’s</w:t>
      </w:r>
      <w:r>
        <w:t xml:space="preserve"> </w:t>
      </w:r>
      <w:hyperlink r:id="rId95">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1.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tbl>
      <w:tblPr>
        <w:tblStyle w:val="Table"/>
        <w:tblW w:type="pct" w:w="5000"/>
        <w:tblLook w:firstRow="0" w:lastRow="0" w:firstColumn="0" w:lastColumn="0" w:noHBand="0" w:noVBand="0" w:val="0000"/>
        <w:jc w:val="start"/>
        <w:tblLayout w:type="fixed"/>
      </w:tblPr>
      <w:tblGrid>
        <w:gridCol w:w="7920"/>
      </w:tblGrid>
      <w:tr>
        <w:tc>
          <w:tcPr/>
          <w:bookmarkStart w:id="105" w:name="fig-1.1"/>
          <w:p>
            <w:pPr>
              <w:pStyle w:val="Compact"/>
              <w:jc w:val="center"/>
            </w:pPr>
            <w:r>
              <w:drawing>
                <wp:inline>
                  <wp:extent cx="5943600" cy="7588546"/>
                  <wp:effectExtent b="0" l="0" r="0" t="0"/>
                  <wp:docPr descr="" title="" id="103" name="Picture"/>
                  <a:graphic>
                    <a:graphicData uri="http://schemas.openxmlformats.org/drawingml/2006/picture">
                      <pic:pic>
                        <pic:nvPicPr>
                          <pic:cNvPr descr="2.Chapter/Figures/F1_ELStime.pdf" id="104" name="Picture"/>
                          <pic:cNvPicPr>
                            <a:picLocks noChangeArrowheads="1" noChangeAspect="1"/>
                          </pic:cNvPicPr>
                        </pic:nvPicPr>
                        <pic:blipFill>
                          <a:blip r:embed="rId102"/>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Cs/>
                <w:b/>
              </w:rPr>
              <w:t xml:space="preserve">Temporal structure of the prenatal and postnatal early-life stress (ELS) score</w:t>
            </w:r>
          </w:p>
          <w:bookmarkEnd w:id="105"/>
        </w:tc>
      </w:tr>
    </w:tbl>
    <w:bookmarkEnd w:id="106"/>
    <w:bookmarkStart w:id="107"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Cs/>
          <w:i/>
        </w:rPr>
        <w:t xml:space="preserve">“</w:t>
      </w:r>
      <w:r>
        <w:rPr>
          <w:iCs/>
          <w:i/>
        </w:rPr>
        <w:t xml:space="preserve">my child feels worthless or inferior</w:t>
      </w:r>
      <w:r>
        <w:rPr>
          <w:iCs/>
          <w:i/>
        </w:rPr>
        <w:t xml:space="preserve">”</w:t>
      </w:r>
      <w:r>
        <w:t xml:space="preserve">. The SDQ emotional problems subscale contains 5 items rated on a 3-point scale, e.g.,</w:t>
      </w:r>
      <w:r>
        <w:t xml:space="preserve"> </w:t>
      </w:r>
      <w:r>
        <w:rPr>
          <w:iCs/>
          <w:i/>
        </w:rPr>
        <w:t xml:space="preserve">“</w:t>
      </w:r>
      <w:r>
        <w:rPr>
          <w:iCs/>
          <w:i/>
        </w:rPr>
        <w:t xml:space="preserve">often unhappy, down-hearted or tearful</w:t>
      </w:r>
      <w:r>
        <w:rPr>
          <w:iCs/>
          <w:i/>
        </w:rPr>
        <w:t xml:space="preserve">”</w:t>
      </w:r>
      <w:r>
        <w:t xml:space="preserve">.</w:t>
      </w:r>
    </w:p>
    <w:bookmarkEnd w:id="107"/>
    <w:bookmarkStart w:id="108"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08"/>
    <w:bookmarkStart w:id="109"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w:t>
      </w:r>
      <w:r>
        <w:t xml:space="preserve">healthy</w:t>
      </w:r>
      <w:r>
        <w:t xml:space="preserve">”</w:t>
      </w:r>
      <w:r>
        <w:t xml:space="preserve"> </w:t>
      </w:r>
      <w:r>
        <w:t xml:space="preserve">(both outcomes &lt;80th percentile);</w:t>
      </w:r>
      <w:r>
        <w:t xml:space="preserve"> </w:t>
      </w:r>
      <w:r>
        <w:t xml:space="preserve">“</w:t>
      </w:r>
      <w:r>
        <w:t xml:space="preserve">high internalizing</w:t>
      </w:r>
      <w:r>
        <w:t xml:space="preserve">”</w:t>
      </w:r>
      <w:r>
        <w:t xml:space="preserve"> </w:t>
      </w:r>
      <w:r>
        <w:t xml:space="preserve">(internalizing &gt;80th &amp; fat mass percentage ≤80th);</w:t>
      </w:r>
      <w:r>
        <w:t xml:space="preserve"> </w:t>
      </w:r>
      <w:r>
        <w:t xml:space="preserve">“</w:t>
      </w:r>
      <w:r>
        <w:t xml:space="preserve">high adiposity</w:t>
      </w:r>
      <w:r>
        <w:t xml:space="preserve">”</w:t>
      </w:r>
      <w:r>
        <w:t xml:space="preserve"> </w:t>
      </w:r>
      <w:r>
        <w:t xml:space="preserve">(internalizing ≤80th &amp; fat mass percentage &gt;80th); and</w:t>
      </w:r>
      <w:r>
        <w:t xml:space="preserve"> </w:t>
      </w:r>
      <w:r>
        <w:t xml:space="preserve">“</w:t>
      </w:r>
      <w:r>
        <w:t xml:space="preserve">comorbid</w:t>
      </w:r>
      <w:r>
        <w:t xml:space="preserve">”</w:t>
      </w:r>
      <w:r>
        <w:t xml:space="preserve"> </w:t>
      </w:r>
      <w:r>
        <w:t xml:space="preserve">(both outcomes &gt;80th percentile).</w:t>
      </w:r>
      <w:r>
        <w:t xml:space="preserve"> </w:t>
      </w:r>
      <w:r>
        <w:t xml:space="preserve">For additional information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2</w:t>
      </w:r>
      <w:r>
        <w:t xml:space="preserve">.</w:t>
      </w:r>
    </w:p>
    <w:bookmarkEnd w:id="109"/>
    <w:bookmarkStart w:id="110"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w:t>
      </w:r>
      <w:r>
        <w:t xml:space="preserve">Africa and Middle East</w:t>
      </w:r>
      <w:r>
        <w:t xml:space="preserve">”</w:t>
      </w:r>
      <w:r>
        <w:t xml:space="preserve">,</w:t>
      </w:r>
      <w:r>
        <w:t xml:space="preserve"> </w:t>
      </w:r>
      <w:r>
        <w:t xml:space="preserve">“</w:t>
      </w:r>
      <w:r>
        <w:t xml:space="preserve">Asia and Oceania</w:t>
      </w:r>
      <w:r>
        <w:t xml:space="preserve">”</w:t>
      </w:r>
      <w:r>
        <w:t xml:space="preserve">,</w:t>
      </w:r>
      <w:r>
        <w:t xml:space="preserve"> </w:t>
      </w:r>
      <w:r>
        <w:t xml:space="preserve">“</w:t>
      </w:r>
      <w:r>
        <w:t xml:space="preserve">Europe</w:t>
      </w:r>
      <w:r>
        <w:t xml:space="preserve">”</w:t>
      </w:r>
      <w:r>
        <w:t xml:space="preserve">,</w:t>
      </w:r>
      <w:r>
        <w:t xml:space="preserve"> </w:t>
      </w:r>
      <w:r>
        <w:t xml:space="preserve">“</w:t>
      </w:r>
      <w:r>
        <w:t xml:space="preserve">Latin America</w:t>
      </w:r>
      <w:r>
        <w:t xml:space="preserve">”</w:t>
      </w:r>
      <w:r>
        <w:t xml:space="preserve">, and</w:t>
      </w:r>
      <w:r>
        <w:t xml:space="preserve"> </w:t>
      </w:r>
      <w:r>
        <w:t xml:space="preserve">“</w:t>
      </w:r>
      <w:r>
        <w:t xml:space="preserve">North America</w:t>
      </w:r>
      <w:r>
        <w:t xml:space="preserve">”</w:t>
      </w:r>
      <w:r>
        <w:t xml:space="preserve"> </w:t>
      </w:r>
      <w:r>
        <w:t xml:space="preserve">(</w:t>
      </w:r>
      <w:r>
        <w:rPr>
          <w:bCs/>
          <w:b/>
        </w:rPr>
        <w:t xml:space="preserve">Figure S5</w:t>
      </w:r>
      <w:r>
        <w:t xml:space="preserve">).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3</w:t>
      </w:r>
      <w:r>
        <w:t xml:space="preserve"> </w:t>
      </w:r>
      <w:r>
        <w:t xml:space="preserve">for additional information on covariates measurement and distribution.</w:t>
      </w:r>
    </w:p>
    <w:bookmarkEnd w:id="110"/>
    <w:bookmarkEnd w:id="111"/>
    <w:bookmarkStart w:id="116"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93">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r>
        <w:rPr>
          <w:bCs/>
          <w:b/>
        </w:rPr>
        <w:t xml:space="preserve">Supplement 4</w:t>
      </w:r>
      <w:r>
        <w:t xml:space="preserve"> </w:t>
      </w:r>
      <w:r>
        <w:t xml:space="preserve">and</w:t>
      </w:r>
      <w:r>
        <w:t xml:space="preserve"> </w:t>
      </w:r>
      <w:r>
        <w:rPr>
          <w:bCs/>
          <w:b/>
        </w:rPr>
        <w:t xml:space="preserve">Table S1</w:t>
      </w:r>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12"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r>
        <w:rPr>
          <w:bCs/>
          <w:b/>
        </w:rPr>
        <w:t xml:space="preserve">Supplement 5</w:t>
      </w:r>
      <w:r>
        <w:t xml:space="preserve">. In summary, the</w:t>
      </w:r>
      <w:r>
        <w:t xml:space="preserve"> </w:t>
      </w:r>
      <w:r>
        <w:t xml:space="preserve">“</w:t>
      </w:r>
      <w:r>
        <w:t xml:space="preserve">total</w:t>
      </w:r>
      <w:r>
        <w:t xml:space="preserve">”</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12"/>
    <w:bookmarkStart w:id="113"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13"/>
    <w:bookmarkStart w:id="114"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w:t>
      </w:r>
      <w:r>
        <w:t xml:space="preserve">healthy</w:t>
      </w:r>
      <w:r>
        <w:t xml:space="preserve">”</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14"/>
    <w:bookmarkStart w:id="115"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15"/>
    <w:bookmarkEnd w:id="116"/>
    <w:bookmarkEnd w:id="117"/>
    <w:bookmarkStart w:id="139" w:name="results"/>
    <w:p>
      <w:pPr>
        <w:pStyle w:val="Heading2"/>
      </w:pPr>
      <w:r>
        <w:t xml:space="preserve">2.3 Results</w:t>
      </w:r>
    </w:p>
    <w:bookmarkStart w:id="119"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1.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w:t>
      </w:r>
      <w:r>
        <w:t xml:space="preserve">Dutch</w:t>
      </w:r>
      <w:r>
        <w:t xml:space="preserve">”</w:t>
      </w:r>
      <w:r>
        <w:t xml:space="preserve"> </w:t>
      </w:r>
      <w:r>
        <w:t xml:space="preserve">and 14% had highly educated (i.e.,</w:t>
      </w:r>
      <w:r>
        <w:t xml:space="preserve"> </w:t>
      </w:r>
      <w:r>
        <w:t xml:space="preserve">“</w:t>
      </w:r>
      <w:r>
        <w:t xml:space="preserve">higher, phase 2</w:t>
      </w:r>
      <w:r>
        <w:t xml:space="preserve">”</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ook w:firstRow="0" w:lastRow="0" w:firstColumn="0" w:lastColumn="0" w:noHBand="0" w:noVBand="0" w:val="0000"/>
        <w:jc w:val="start"/>
        <w:tblLayout w:type="fixed"/>
      </w:tblPr>
      <w:tblGrid>
        <w:gridCol w:w="7920"/>
      </w:tblGrid>
      <w:tr>
        <w:tc>
          <w:tcPr/>
          <w:bookmarkStart w:id="118" w:name="tbl-1.1"/>
          <w:p>
            <w:pPr>
              <w:jc w:val="center"/>
            </w:pPr>
            <w:pPr>
              <w:jc w:val="start"/>
              <w:spacing w:before="200"/>
              <w:pStyle w:val="ImageCaption"/>
            </w:pPr>
            <w:r>
              <w:t xml:space="preserve">Table 2.1: My interesting caption.</w:t>
            </w:r>
          </w:p>
          <w:tbl>
            <w:tblPr>
              <w:tblStyle w:val="Table"/>
              <w:tblW w:type="pct" w:w="5000"/>
              <w:tblLook w:firstRow="1" w:lastRow="1" w:firstColumn="0" w:lastColumn="0" w:noHBand="0" w:noVBand="0" w:val="0020"/>
              <w:jc w:val="start"/>
              <w:tblLayout w:type="fixed"/>
            </w:tblPr>
            <w:tblGrid>
              <w:gridCol w:w="4276"/>
              <w:gridCol w:w="1821"/>
              <w:gridCol w:w="1821"/>
            </w:tblGrid>
            <w:tr>
              <w:trPr>
                <w:tblHeader w:val="true"/>
              </w:trPr>
              <w:tc>
                <w:tcPr>
                  <w:gridSpan w:val="3"/>
                </w:tcPr>
                <w:p>
                  <w:pPr>
                    <w:pStyle w:val="Compact"/>
                    <w:jc w:val="left"/>
                    <w:jc w:val="center"/>
                  </w:pPr>
                  <w:r>
                    <w:rPr>
                      <w:bCs/>
                      <w:b/>
                    </w:rPr>
                    <w:t xml:space="preserve">Sample descriptives</w:t>
                  </w:r>
                  <w:r>
                    <w:br/>
                  </w:r>
                  <w:r>
                    <w:t xml:space="preserve">Generation R (GenR) and ALSPAC cohorts</w:t>
                  </w:r>
                </w:p>
              </w:tc>
            </w:tr>
            <w:tr>
              <w:tc>
                <w:tcPr/>
                <w:p>
                  <w:pPr>
                    <w:jc w:val="left"/>
                    <w:jc w:val="center"/>
                  </w:pPr>
                  <w:r>
                    <w:rPr>
                      <w:bCs/>
                      <w:b/>
                    </w:rPr>
                    <w:t xml:space="preserve"> </w:t>
                  </w:r>
                </w:p>
              </w:tc>
              <w:tc>
                <w:tcPr/>
                <w:p>
                  <w:pPr>
                    <w:jc w:val="left"/>
                    <w:jc w:val="center"/>
                  </w:pPr>
                  <w:r>
                    <w:rPr>
                      <w:bCs/>
                      <w:b/>
                    </w:rPr>
                    <w:t xml:space="preserve">GenR</w:t>
                  </w:r>
                  <w:r>
                    <w:br/>
                  </w:r>
                  <w:r>
                    <w:rPr>
                      <w:bCs/>
                      <w:b/>
                    </w:rPr>
                    <w:t xml:space="preserve">(</w:t>
                  </w:r>
                  <w:r>
                    <w:rPr>
                      <w:iCs/>
                      <w:i/>
                      <w:bCs/>
                      <w:b/>
                    </w:rPr>
                    <w:t xml:space="preserve">n</w:t>
                  </w:r>
                  <w:r>
                    <w:rPr>
                      <w:bCs/>
                      <w:b/>
                    </w:rPr>
                    <w:t xml:space="preserve"> </w:t>
                  </w:r>
                  <w:r>
                    <w:rPr>
                      <w:bCs/>
                      <w:b/>
                    </w:rPr>
                    <w:t xml:space="preserve">= 4268)</w:t>
                  </w:r>
                </w:p>
              </w:tc>
              <w:tc>
                <w:tcPr/>
                <w:p>
                  <w:pPr>
                    <w:jc w:val="left"/>
                    <w:jc w:val="center"/>
                  </w:pPr>
                  <w:r>
                    <w:rPr>
                      <w:bCs/>
                      <w:b/>
                    </w:rPr>
                    <w:t xml:space="preserve">ALSPAC</w:t>
                  </w:r>
                  <w:r>
                    <w:br/>
                  </w:r>
                  <w:r>
                    <w:rPr>
                      <w:bCs/>
                      <w:b/>
                    </w:rPr>
                    <w:t xml:space="preserve">(</w:t>
                  </w:r>
                  <w:r>
                    <w:rPr>
                      <w:iCs/>
                      <w:i/>
                      <w:bCs/>
                      <w:b/>
                    </w:rPr>
                    <w:t xml:space="preserve">n</w:t>
                  </w:r>
                  <w:r>
                    <w:rPr>
                      <w:bCs/>
                      <w:b/>
                    </w:rPr>
                    <w:t xml:space="preserve"> </w:t>
                  </w:r>
                  <w:r>
                    <w:rPr>
                      <w:bCs/>
                      <w:b/>
                    </w:rPr>
                    <w:t xml:space="preserve">= 8428)</w:t>
                  </w:r>
                </w:p>
              </w:tc>
            </w:tr>
            <w:tr>
              <w:tc>
                <w:tcPr>
                  <w:gridSpan w:val="3"/>
                </w:tcPr>
                <w:p>
                  <w:pPr>
                    <w:jc w:val="left"/>
                    <w:jc w:val="center"/>
                  </w:pPr>
                  <w:r>
                    <w:rPr>
                      <w:bCs/>
                      <w:b/>
                    </w:rPr>
                    <w:t xml:space="preserve">Prenatal stress</w:t>
                  </w:r>
                  <w:r>
                    <w:t xml:space="preserve">, median (range)</w:t>
                  </w:r>
                </w:p>
              </w:tc>
            </w:tr>
            <w:tr>
              <w:tc>
                <w:tcPr/>
                <w:p>
                  <w:pPr>
                    <w:jc w:val="left"/>
                    <w:jc w:val="center"/>
                  </w:pPr>
                  <w:r>
                    <w:t xml:space="preserve">  Total score</w:t>
                  </w:r>
                </w:p>
              </w:tc>
              <w:tc>
                <w:tcPr/>
                <w:p>
                  <w:pPr>
                    <w:jc w:val="left"/>
                    <w:jc w:val="center"/>
                  </w:pPr>
                  <w:r>
                    <w:t xml:space="preserve">0.42 (0–2.60)</w:t>
                  </w:r>
                </w:p>
              </w:tc>
              <w:tc>
                <w:tcPr/>
                <w:p>
                  <w:pPr>
                    <w:jc w:val="left"/>
                    <w:jc w:val="center"/>
                  </w:pPr>
                  <w:r>
                    <w:t xml:space="preserve">0.48 (0–2.34)</w:t>
                  </w:r>
                </w:p>
              </w:tc>
            </w:tr>
            <w:tr>
              <w:tc>
                <w:tcPr/>
                <w:p>
                  <w:pPr>
                    <w:jc w:val="left"/>
                    <w:jc w:val="center"/>
                  </w:pPr>
                  <w:r>
                    <w:t xml:space="preserve">  Life events</w:t>
                  </w:r>
                </w:p>
              </w:tc>
              <w:tc>
                <w:tcPr/>
                <w:p>
                  <w:pPr>
                    <w:jc w:val="left"/>
                    <w:jc w:val="center"/>
                  </w:pPr>
                  <w:r>
                    <w:t xml:space="preserve">0.13 (0–0.67)</w:t>
                  </w:r>
                </w:p>
              </w:tc>
              <w:tc>
                <w:tcPr/>
                <w:p>
                  <w:pPr>
                    <w:jc w:val="left"/>
                    <w:jc w:val="center"/>
                  </w:pPr>
                  <w:r>
                    <w:t xml:space="preserve">0.07 (0–0.57)</w:t>
                  </w:r>
                </w:p>
              </w:tc>
            </w:tr>
            <w:tr>
              <w:tc>
                <w:tcPr/>
                <w:p>
                  <w:pPr>
                    <w:jc w:val="left"/>
                    <w:jc w:val="center"/>
                  </w:pPr>
                  <w:r>
                    <w:t xml:space="preserve">  Contextual risk</w:t>
                  </w:r>
                </w:p>
              </w:tc>
              <w:tc>
                <w:tcPr/>
                <w:p>
                  <w:pPr>
                    <w:jc w:val="left"/>
                    <w:jc w:val="center"/>
                  </w:pPr>
                  <w:r>
                    <w:t xml:space="preserve">0.25 (0–1.00)</w:t>
                  </w:r>
                </w:p>
              </w:tc>
              <w:tc>
                <w:tcPr/>
                <w:p>
                  <w:pPr>
                    <w:jc w:val="left"/>
                    <w:jc w:val="center"/>
                  </w:pPr>
                  <w:r>
                    <w:t xml:space="preserve">0.25 (0–0.88)</w:t>
                  </w:r>
                </w:p>
              </w:tc>
            </w:tr>
            <w:tr>
              <w:tc>
                <w:tcPr/>
                <w:p>
                  <w:pPr>
                    <w:jc w:val="left"/>
                    <w:jc w:val="center"/>
                  </w:pPr>
                  <w:r>
                    <w:t xml:space="preserve">  Parental risk</w:t>
                  </w:r>
                </w:p>
              </w:tc>
              <w:tc>
                <w:tcPr/>
                <w:p>
                  <w:pPr>
                    <w:jc w:val="left"/>
                    <w:jc w:val="center"/>
                  </w:pPr>
                  <w:r>
                    <w:t xml:space="preserve">0.00 (0–0.71)</w:t>
                  </w:r>
                </w:p>
              </w:tc>
              <w:tc>
                <w:tcPr/>
                <w:p>
                  <w:pPr>
                    <w:jc w:val="left"/>
                    <w:jc w:val="center"/>
                  </w:pPr>
                  <w:r>
                    <w:t xml:space="preserve">0.10 (0–0.83)</w:t>
                  </w:r>
                </w:p>
              </w:tc>
            </w:tr>
            <w:tr>
              <w:tc>
                <w:tcPr/>
                <w:p>
                  <w:pPr>
                    <w:jc w:val="left"/>
                    <w:jc w:val="center"/>
                  </w:pPr>
                  <w:r>
                    <w:t xml:space="preserve">  Interpersonal risk</w:t>
                  </w:r>
                </w:p>
              </w:tc>
              <w:tc>
                <w:tcPr/>
                <w:p>
                  <w:pPr>
                    <w:jc w:val="left"/>
                    <w:jc w:val="center"/>
                  </w:pPr>
                  <w:r>
                    <w:t xml:space="preserve">0.06 (0–0.95)</w:t>
                  </w:r>
                </w:p>
              </w:tc>
              <w:tc>
                <w:tcPr/>
                <w:p>
                  <w:pPr>
                    <w:jc w:val="left"/>
                    <w:jc w:val="center"/>
                  </w:pPr>
                  <w:r>
                    <w:t xml:space="preserve">0.00 (0–0.84)</w:t>
                  </w:r>
                </w:p>
              </w:tc>
            </w:tr>
            <w:tr>
              <w:tc>
                <w:tcPr>
                  <w:gridSpan w:val="3"/>
                </w:tcPr>
                <w:p>
                  <w:pPr>
                    <w:jc w:val="left"/>
                    <w:jc w:val="center"/>
                  </w:pPr>
                  <w:r>
                    <w:rPr>
                      <w:bCs/>
                      <w:b/>
                    </w:rPr>
                    <w:t xml:space="preserve">Postnatal stress</w:t>
                  </w:r>
                  <w:r>
                    <w:t xml:space="preserve">, median (range)</w:t>
                  </w:r>
                </w:p>
              </w:tc>
            </w:tr>
            <w:tr>
              <w:tc>
                <w:tcPr/>
                <w:p>
                  <w:pPr>
                    <w:jc w:val="left"/>
                    <w:jc w:val="center"/>
                  </w:pPr>
                  <w:r>
                    <w:t xml:space="preserve">  Total score</w:t>
                  </w:r>
                </w:p>
              </w:tc>
              <w:tc>
                <w:tcPr/>
                <w:p>
                  <w:pPr>
                    <w:jc w:val="left"/>
                    <w:jc w:val="center"/>
                  </w:pPr>
                  <w:r>
                    <w:t xml:space="preserve">0.64 (0–3.59)</w:t>
                  </w:r>
                </w:p>
              </w:tc>
              <w:tc>
                <w:tcPr/>
                <w:p>
                  <w:pPr>
                    <w:jc w:val="left"/>
                    <w:jc w:val="center"/>
                  </w:pPr>
                  <w:r>
                    <w:t xml:space="preserve">2.69 (0.17–16.43)</w:t>
                  </w:r>
                </w:p>
              </w:tc>
            </w:tr>
            <w:tr>
              <w:tc>
                <w:tcPr/>
                <w:p>
                  <w:pPr>
                    <w:jc w:val="left"/>
                    <w:jc w:val="center"/>
                  </w:pPr>
                  <w:r>
                    <w:t xml:space="preserve">  Life events</w:t>
                  </w:r>
                </w:p>
              </w:tc>
              <w:tc>
                <w:tcPr/>
                <w:p>
                  <w:pPr>
                    <w:jc w:val="left"/>
                    <w:jc w:val="center"/>
                  </w:pPr>
                  <w:r>
                    <w:t xml:space="preserve">0.23 (0–0.82)</w:t>
                  </w:r>
                </w:p>
              </w:tc>
              <w:tc>
                <w:tcPr/>
                <w:p>
                  <w:pPr>
                    <w:jc w:val="left"/>
                    <w:jc w:val="center"/>
                  </w:pPr>
                  <w:r>
                    <w:t xml:space="preserve">1.07 (0–3.50)</w:t>
                  </w:r>
                </w:p>
              </w:tc>
            </w:tr>
            <w:tr>
              <w:tc>
                <w:tcPr/>
                <w:p>
                  <w:pPr>
                    <w:jc w:val="left"/>
                    <w:jc w:val="center"/>
                  </w:pPr>
                  <w:r>
                    <w:t xml:space="preserve">  Contextual risk</w:t>
                  </w:r>
                </w:p>
              </w:tc>
              <w:tc>
                <w:tcPr/>
                <w:p>
                  <w:pPr>
                    <w:jc w:val="left"/>
                    <w:jc w:val="center"/>
                  </w:pPr>
                  <w:r>
                    <w:t xml:space="preserve">0.20 (0–1.00)</w:t>
                  </w:r>
                </w:p>
              </w:tc>
              <w:tc>
                <w:tcPr/>
                <w:p>
                  <w:pPr>
                    <w:jc w:val="left"/>
                    <w:jc w:val="center"/>
                  </w:pPr>
                  <w:r>
                    <w:t xml:space="preserve">0.50 (0–2.90)</w:t>
                  </w:r>
                </w:p>
              </w:tc>
            </w:tr>
            <w:tr>
              <w:tc>
                <w:tcPr/>
                <w:p>
                  <w:pPr>
                    <w:jc w:val="left"/>
                    <w:jc w:val="center"/>
                  </w:pPr>
                  <w:r>
                    <w:t xml:space="preserve">  Parental risk</w:t>
                  </w:r>
                </w:p>
              </w:tc>
              <w:tc>
                <w:tcPr/>
                <w:p>
                  <w:pPr>
                    <w:jc w:val="left"/>
                    <w:jc w:val="center"/>
                  </w:pPr>
                  <w:r>
                    <w:t xml:space="preserve">0.00 (0–0.79)</w:t>
                  </w:r>
                </w:p>
              </w:tc>
              <w:tc>
                <w:tcPr/>
                <w:p>
                  <w:pPr>
                    <w:jc w:val="left"/>
                    <w:jc w:val="center"/>
                  </w:pPr>
                  <w:r>
                    <w:t xml:space="preserve">0.57 (0–3.62)</w:t>
                  </w:r>
                </w:p>
              </w:tc>
            </w:tr>
            <w:tr>
              <w:tc>
                <w:tcPr/>
                <w:p>
                  <w:pPr>
                    <w:jc w:val="left"/>
                    <w:jc w:val="center"/>
                  </w:pPr>
                  <w:r>
                    <w:t xml:space="preserve">  Interpersonal risk</w:t>
                  </w:r>
                </w:p>
              </w:tc>
              <w:tc>
                <w:tcPr/>
                <w:p>
                  <w:pPr>
                    <w:jc w:val="left"/>
                    <w:jc w:val="center"/>
                  </w:pPr>
                  <w:r>
                    <w:t xml:space="preserve">0.00 (0–0.79)</w:t>
                  </w:r>
                </w:p>
              </w:tc>
              <w:tc>
                <w:tcPr/>
                <w:p>
                  <w:pPr>
                    <w:jc w:val="left"/>
                    <w:jc w:val="center"/>
                  </w:pPr>
                  <w:r>
                    <w:t xml:space="preserve">0.29 (0–5.49)</w:t>
                  </w:r>
                </w:p>
              </w:tc>
            </w:tr>
            <w:tr>
              <w:tc>
                <w:tcPr/>
                <w:p>
                  <w:pPr>
                    <w:jc w:val="left"/>
                    <w:jc w:val="center"/>
                  </w:pPr>
                  <w:r>
                    <w:t xml:space="preserve">  Direct victimization</w:t>
                  </w:r>
                </w:p>
              </w:tc>
              <w:tc>
                <w:tcPr/>
                <w:p>
                  <w:pPr>
                    <w:jc w:val="left"/>
                    <w:jc w:val="center"/>
                  </w:pPr>
                  <w:r>
                    <w:t xml:space="preserve">0.13 (0–0.86)</w:t>
                  </w:r>
                </w:p>
              </w:tc>
              <w:tc>
                <w:tcPr/>
                <w:p>
                  <w:pPr>
                    <w:jc w:val="left"/>
                    <w:jc w:val="center"/>
                  </w:pPr>
                  <w:r>
                    <w:t xml:space="preserve">0.00 (0–3.10)</w:t>
                  </w:r>
                </w:p>
              </w:tc>
            </w:tr>
            <w:tr>
              <w:tc>
                <w:tcPr/>
                <w:p>
                  <w:pPr>
                    <w:jc w:val="left"/>
                    <w:jc w:val="center"/>
                  </w:pPr>
                  <w:r>
                    <w:rPr>
                      <w:bCs/>
                      <w:b/>
                    </w:rPr>
                    <w:t xml:space="preserve">Internalizing score</w:t>
                  </w:r>
                  <w:r>
                    <w:t xml:space="preserve">, median (range)</w:t>
                  </w:r>
                </w:p>
              </w:tc>
              <w:tc>
                <w:tcPr/>
                <w:p>
                  <w:pPr>
                    <w:jc w:val="left"/>
                    <w:jc w:val="center"/>
                  </w:pPr>
                  <w:r>
                    <w:t xml:space="preserve">4.00 (0–41)</w:t>
                  </w:r>
                </w:p>
              </w:tc>
              <w:tc>
                <w:tcPr/>
                <w:p>
                  <w:pPr>
                    <w:jc w:val="left"/>
                    <w:jc w:val="center"/>
                  </w:pPr>
                  <w:r>
                    <w:t xml:space="preserve">1.00 (0–10)</w:t>
                  </w:r>
                </w:p>
              </w:tc>
            </w:tr>
            <w:tr>
              <w:tc>
                <w:tcPr/>
                <w:p>
                  <w:pPr>
                    <w:jc w:val="left"/>
                    <w:jc w:val="center"/>
                  </w:pPr>
                  <w:r>
                    <w:rPr>
                      <w:bCs/>
                      <w:b/>
                    </w:rPr>
                    <w:t xml:space="preserve">Fat mass percentage</w:t>
                  </w:r>
                  <w:r>
                    <w:t xml:space="preserve">, median (range)</w:t>
                  </w:r>
                </w:p>
              </w:tc>
              <w:tc>
                <w:tcPr/>
                <w:p>
                  <w:pPr>
                    <w:jc w:val="left"/>
                    <w:jc w:val="center"/>
                  </w:pPr>
                  <w:r>
                    <w:t xml:space="preserve">24.7 (8.5–54.6)</w:t>
                  </w:r>
                </w:p>
              </w:tc>
              <w:tc>
                <w:tcPr/>
                <w:p>
                  <w:pPr>
                    <w:jc w:val="left"/>
                    <w:jc w:val="center"/>
                  </w:pPr>
                  <w:r>
                    <w:t xml:space="preserve">23.9 (4.9–56.3)</w:t>
                  </w:r>
                </w:p>
              </w:tc>
            </w:tr>
            <w:tr>
              <w:tc>
                <w:tcPr>
                  <w:gridSpan w:val="3"/>
                </w:tcPr>
                <w:p>
                  <w:pPr>
                    <w:jc w:val="left"/>
                    <w:jc w:val="center"/>
                  </w:pPr>
                  <w:r>
                    <w:rPr>
                      <w:bCs/>
                      <w:b/>
                    </w:rPr>
                    <w:t xml:space="preserve">Outcome groups</w:t>
                  </w:r>
                  <w:r>
                    <w:t xml:space="preserve">, n (%)</w:t>
                  </w:r>
                </w:p>
              </w:tc>
            </w:tr>
            <w:tr>
              <w:tc>
                <w:tcPr/>
                <w:p>
                  <w:pPr>
                    <w:jc w:val="left"/>
                    <w:jc w:val="center"/>
                  </w:pPr>
                  <w:r>
                    <w:t xml:space="preserve">  Healthy</w:t>
                  </w:r>
                </w:p>
              </w:tc>
              <w:tc>
                <w:tcPr/>
                <w:p>
                  <w:pPr>
                    <w:jc w:val="left"/>
                    <w:jc w:val="center"/>
                  </w:pPr>
                  <w:r>
                    <w:t xml:space="preserve">2791 (65)</w:t>
                  </w:r>
                </w:p>
              </w:tc>
              <w:tc>
                <w:tcPr/>
                <w:p>
                  <w:pPr>
                    <w:jc w:val="left"/>
                    <w:jc w:val="center"/>
                  </w:pPr>
                  <w:r>
                    <w:t xml:space="preserve">5916 (70)</w:t>
                  </w:r>
                </w:p>
              </w:tc>
            </w:tr>
            <w:tr>
              <w:tc>
                <w:tcPr/>
                <w:p>
                  <w:pPr>
                    <w:jc w:val="left"/>
                    <w:jc w:val="center"/>
                  </w:pPr>
                  <w:r>
                    <w:t xml:space="preserve">  High internalizing</w:t>
                  </w:r>
                </w:p>
              </w:tc>
              <w:tc>
                <w:tcPr/>
                <w:p>
                  <w:pPr>
                    <w:jc w:val="left"/>
                    <w:jc w:val="center"/>
                  </w:pPr>
                  <w:r>
                    <w:t xml:space="preserve">623 (15)</w:t>
                  </w:r>
                </w:p>
              </w:tc>
              <w:tc>
                <w:tcPr/>
                <w:p>
                  <w:pPr>
                    <w:jc w:val="left"/>
                    <w:jc w:val="center"/>
                  </w:pPr>
                  <w:r>
                    <w:t xml:space="preserve">795 (9)</w:t>
                  </w:r>
                </w:p>
              </w:tc>
            </w:tr>
            <w:tr>
              <w:tc>
                <w:tcPr/>
                <w:p>
                  <w:pPr>
                    <w:jc w:val="left"/>
                    <w:jc w:val="center"/>
                  </w:pPr>
                  <w:r>
                    <w:t xml:space="preserve">  High adiposity</w:t>
                  </w:r>
                </w:p>
              </w:tc>
              <w:tc>
                <w:tcPr/>
                <w:p>
                  <w:pPr>
                    <w:jc w:val="left"/>
                    <w:jc w:val="center"/>
                  </w:pPr>
                  <w:r>
                    <w:t xml:space="preserve">631 (15)</w:t>
                  </w:r>
                </w:p>
              </w:tc>
              <w:tc>
                <w:tcPr/>
                <w:p>
                  <w:pPr>
                    <w:jc w:val="left"/>
                    <w:jc w:val="center"/>
                  </w:pPr>
                  <w:r>
                    <w:t xml:space="preserve">1476 (18)</w:t>
                  </w:r>
                </w:p>
              </w:tc>
            </w:tr>
            <w:tr>
              <w:tc>
                <w:tcPr/>
                <w:p>
                  <w:pPr>
                    <w:jc w:val="left"/>
                    <w:jc w:val="center"/>
                  </w:pPr>
                  <w:r>
                    <w:t xml:space="preserve">  Comorbid</w:t>
                  </w:r>
                </w:p>
              </w:tc>
              <w:tc>
                <w:tcPr/>
                <w:p>
                  <w:pPr>
                    <w:jc w:val="left"/>
                    <w:jc w:val="center"/>
                  </w:pPr>
                  <w:r>
                    <w:t xml:space="preserve">223 (5)</w:t>
                  </w:r>
                </w:p>
              </w:tc>
              <w:tc>
                <w:tcPr/>
                <w:p>
                  <w:pPr>
                    <w:jc w:val="left"/>
                    <w:jc w:val="center"/>
                  </w:pPr>
                  <w:r>
                    <w:t xml:space="preserve">241 (3)</w:t>
                  </w:r>
                </w:p>
              </w:tc>
            </w:tr>
            <w:tr>
              <w:tc>
                <w:tcPr>
                  <w:gridSpan w:val="3"/>
                </w:tcPr>
                <w:p>
                  <w:pPr>
                    <w:jc w:val="left"/>
                    <w:jc w:val="center"/>
                  </w:pPr>
                  <w:r>
                    <w:rPr>
                      <w:bCs/>
                      <w:b/>
                    </w:rPr>
                    <w:t xml:space="preserve">Sex</w:t>
                  </w:r>
                  <w:r>
                    <w:t xml:space="preserve">, n (%)</w:t>
                  </w:r>
                </w:p>
              </w:tc>
            </w:tr>
            <w:tr>
              <w:tc>
                <w:tcPr/>
                <w:p>
                  <w:pPr>
                    <w:jc w:val="left"/>
                    <w:jc w:val="center"/>
                  </w:pPr>
                  <w:r>
                    <w:t xml:space="preserve">  Male participants</w:t>
                  </w:r>
                </w:p>
              </w:tc>
              <w:tc>
                <w:tcPr/>
                <w:p>
                  <w:pPr>
                    <w:jc w:val="left"/>
                    <w:jc w:val="center"/>
                  </w:pPr>
                  <w:r>
                    <w:t xml:space="preserve">2087 (48)</w:t>
                  </w:r>
                </w:p>
              </w:tc>
              <w:tc>
                <w:tcPr/>
                <w:p>
                  <w:pPr>
                    <w:jc w:val="left"/>
                    <w:jc w:val="center"/>
                  </w:pPr>
                  <w:r>
                    <w:t xml:space="preserve">4370 (52)</w:t>
                  </w:r>
                </w:p>
              </w:tc>
            </w:tr>
            <w:tr>
              <w:tc>
                <w:tcPr/>
                <w:p>
                  <w:pPr>
                    <w:jc w:val="left"/>
                    <w:jc w:val="center"/>
                  </w:pPr>
                  <w:r>
                    <w:t xml:space="preserve">  Female participants</w:t>
                  </w:r>
                </w:p>
              </w:tc>
              <w:tc>
                <w:tcPr/>
                <w:p>
                  <w:pPr>
                    <w:jc w:val="left"/>
                    <w:jc w:val="center"/>
                  </w:pPr>
                  <w:r>
                    <w:t xml:space="preserve">2181 (52)</w:t>
                  </w:r>
                </w:p>
              </w:tc>
              <w:tc>
                <w:tcPr/>
                <w:p>
                  <w:pPr>
                    <w:jc w:val="left"/>
                    <w:jc w:val="center"/>
                  </w:pPr>
                  <w:r>
                    <w:t xml:space="preserve">4058 (48)</w:t>
                  </w:r>
                </w:p>
              </w:tc>
            </w:tr>
            <w:tr>
              <w:tc>
                <w:tcPr>
                  <w:gridSpan w:val="3"/>
                </w:tcPr>
                <w:p>
                  <w:pPr>
                    <w:jc w:val="left"/>
                    <w:jc w:val="center"/>
                  </w:pPr>
                  <w:r>
                    <w:rPr>
                      <w:bCs/>
                      <w:b/>
                    </w:rPr>
                    <w:t xml:space="preserve">Ethnic background</w:t>
                  </w:r>
                  <w:r>
                    <w:t xml:space="preserve">, n (%)</w:t>
                  </w:r>
                </w:p>
              </w:tc>
            </w:tr>
            <w:tr>
              <w:tc>
                <w:tcPr/>
                <w:p>
                  <w:pPr>
                    <w:jc w:val="left"/>
                    <w:jc w:val="center"/>
                  </w:pPr>
                  <w:r>
                    <w:t xml:space="preserve">  Africa and Middle East</w:t>
                  </w:r>
                  <w:r>
                    <w:t xml:space="preserve"> </w:t>
                  </w:r>
                  <w:r>
                    <w:rPr>
                      <w:vertAlign w:val="superscript"/>
                    </w:rPr>
                    <w:t xml:space="preserve">a</w:t>
                  </w:r>
                </w:p>
              </w:tc>
              <w:tc>
                <w:tcPr/>
                <w:p>
                  <w:pPr>
                    <w:jc w:val="left"/>
                    <w:jc w:val="center"/>
                  </w:pPr>
                  <w:r>
                    <w:t xml:space="preserve">115 (2.7)</w:t>
                  </w:r>
                </w:p>
              </w:tc>
              <w:tc>
                <w:tcPr>
                  <w:vMerge w:val="restart"/>
                </w:tcPr>
                <w:p>
                  <w:pPr>
                    <w:jc w:val="left"/>
                    <w:jc w:val="center"/>
                  </w:pPr>
                  <w:r>
                    <w:t xml:space="preserve"> </w:t>
                  </w:r>
                </w:p>
              </w:tc>
            </w:tr>
            <w:tr>
              <w:tc>
                <w:tcPr/>
                <w:p>
                  <w:pPr>
                    <w:jc w:val="left"/>
                    <w:jc w:val="center"/>
                  </w:pPr>
                  <w:r>
                    <w:t xml:space="preserve">  Asia and Oceania</w:t>
                  </w:r>
                  <w:r>
                    <w:t xml:space="preserve"> </w:t>
                  </w:r>
                  <w:r>
                    <w:rPr>
                      <w:vertAlign w:val="superscript"/>
                    </w:rPr>
                    <w:t xml:space="preserve">a</w:t>
                  </w:r>
                </w:p>
              </w:tc>
              <w:tc>
                <w:tcPr/>
                <w:p>
                  <w:pPr>
                    <w:jc w:val="left"/>
                    <w:jc w:val="center"/>
                  </w:pPr>
                  <w:r>
                    <w:t xml:space="preserve">100 (2.3)</w:t>
                  </w:r>
                </w:p>
              </w:tc>
              <w:tc>
                <w:tcPr>
                  <w:gridSpan w:val="1"/>
                  <w:vMerge w:val="continue"/>
                </w:tcPr>
                <w:p>
                  <w:pPr/>
                </w:p>
              </w:tc>
            </w:tr>
            <w:tr>
              <w:tc>
                <w:tcPr/>
                <w:p>
                  <w:pPr>
                    <w:jc w:val="left"/>
                    <w:jc w:val="center"/>
                  </w:pPr>
                  <w:r>
                    <w:t xml:space="preserve">  Cape Verdean</w:t>
                  </w:r>
                </w:p>
              </w:tc>
              <w:tc>
                <w:tcPr/>
                <w:p>
                  <w:pPr>
                    <w:jc w:val="left"/>
                    <w:jc w:val="center"/>
                  </w:pPr>
                  <w:r>
                    <w:t xml:space="preserve">100 (2.3)</w:t>
                  </w:r>
                </w:p>
              </w:tc>
              <w:tc>
                <w:tcPr>
                  <w:gridSpan w:val="1"/>
                  <w:vMerge w:val="continue"/>
                </w:tcPr>
                <w:p>
                  <w:pPr/>
                </w:p>
              </w:tc>
            </w:tr>
            <w:tr>
              <w:tc>
                <w:tcPr/>
                <w:p>
                  <w:pPr>
                    <w:jc w:val="left"/>
                    <w:jc w:val="center"/>
                  </w:pPr>
                  <w:r>
                    <w:t xml:space="preserve">  Dutch</w:t>
                  </w:r>
                </w:p>
              </w:tc>
              <w:tc>
                <w:tcPr/>
                <w:p>
                  <w:pPr>
                    <w:jc w:val="left"/>
                    <w:jc w:val="center"/>
                  </w:pPr>
                  <w:r>
                    <w:t xml:space="preserve">2673 (62.6)</w:t>
                  </w:r>
                </w:p>
              </w:tc>
              <w:tc>
                <w:tcPr>
                  <w:gridSpan w:val="1"/>
                  <w:vMerge w:val="continue"/>
                </w:tcPr>
                <w:p>
                  <w:pPr/>
                </w:p>
              </w:tc>
            </w:tr>
            <w:tr>
              <w:tc>
                <w:tcPr/>
                <w:p>
                  <w:pPr>
                    <w:jc w:val="left"/>
                    <w:jc w:val="center"/>
                  </w:pPr>
                  <w:r>
                    <w:t xml:space="preserve">  Dutch Antillean</w:t>
                  </w:r>
                </w:p>
              </w:tc>
              <w:tc>
                <w:tcPr/>
                <w:p>
                  <w:pPr>
                    <w:jc w:val="left"/>
                    <w:jc w:val="center"/>
                  </w:pPr>
                  <w:r>
                    <w:t xml:space="preserve">118 (2.8)</w:t>
                  </w:r>
                </w:p>
              </w:tc>
              <w:tc>
                <w:tcPr>
                  <w:gridSpan w:val="1"/>
                  <w:vMerge w:val="continue"/>
                </w:tcPr>
                <w:p>
                  <w:pPr/>
                </w:p>
              </w:tc>
            </w:tr>
            <w:tr>
              <w:tc>
                <w:tcPr/>
                <w:p>
                  <w:pPr>
                    <w:jc w:val="left"/>
                    <w:jc w:val="center"/>
                  </w:pPr>
                  <w:r>
                    <w:t xml:space="preserve">  Europe</w:t>
                  </w:r>
                  <w:r>
                    <w:t xml:space="preserve"> </w:t>
                  </w:r>
                  <w:r>
                    <w:rPr>
                      <w:vertAlign w:val="superscript"/>
                    </w:rPr>
                    <w:t xml:space="preserve">a</w:t>
                  </w:r>
                </w:p>
              </w:tc>
              <w:tc>
                <w:tcPr/>
                <w:p>
                  <w:pPr>
                    <w:jc w:val="left"/>
                    <w:jc w:val="center"/>
                  </w:pPr>
                  <w:r>
                    <w:t xml:space="preserve">334 (7.8)</w:t>
                  </w:r>
                </w:p>
              </w:tc>
              <w:tc>
                <w:tcPr>
                  <w:gridSpan w:val="1"/>
                  <w:vMerge w:val="continue"/>
                </w:tcPr>
                <w:p>
                  <w:pPr/>
                </w:p>
              </w:tc>
            </w:tr>
            <w:tr>
              <w:tc>
                <w:tcPr/>
                <w:p>
                  <w:pPr>
                    <w:jc w:val="left"/>
                    <w:jc w:val="center"/>
                  </w:pPr>
                  <w:r>
                    <w:t xml:space="preserve">  Latin America</w:t>
                  </w:r>
                  <w:r>
                    <w:t xml:space="preserve"> </w:t>
                  </w:r>
                  <w:r>
                    <w:rPr>
                      <w:vertAlign w:val="superscript"/>
                    </w:rPr>
                    <w:t xml:space="preserve">a</w:t>
                  </w:r>
                </w:p>
              </w:tc>
              <w:tc>
                <w:tcPr/>
                <w:p>
                  <w:pPr>
                    <w:jc w:val="left"/>
                    <w:jc w:val="center"/>
                  </w:pPr>
                  <w:r>
                    <w:t xml:space="preserve">72 (1.7)</w:t>
                  </w:r>
                </w:p>
              </w:tc>
              <w:tc>
                <w:tcPr>
                  <w:gridSpan w:val="1"/>
                  <w:vMerge w:val="continue"/>
                </w:tcPr>
                <w:p>
                  <w:pPr/>
                </w:p>
              </w:tc>
            </w:tr>
            <w:tr>
              <w:tc>
                <w:tcPr/>
                <w:p>
                  <w:pPr>
                    <w:jc w:val="left"/>
                    <w:jc w:val="center"/>
                  </w:pPr>
                  <w:r>
                    <w:t xml:space="preserve">  Moroccan</w:t>
                  </w:r>
                </w:p>
              </w:tc>
              <w:tc>
                <w:tcPr/>
                <w:p>
                  <w:pPr>
                    <w:jc w:val="left"/>
                    <w:jc w:val="center"/>
                  </w:pPr>
                  <w:r>
                    <w:t xml:space="preserve">176 (4.1)</w:t>
                  </w:r>
                </w:p>
              </w:tc>
              <w:tc>
                <w:tcPr>
                  <w:gridSpan w:val="1"/>
                  <w:vMerge w:val="continue"/>
                </w:tcPr>
                <w:p>
                  <w:pPr/>
                </w:p>
              </w:tc>
            </w:tr>
            <w:tr>
              <w:tc>
                <w:tcPr/>
                <w:p>
                  <w:pPr>
                    <w:jc w:val="left"/>
                    <w:jc w:val="center"/>
                  </w:pPr>
                  <w:r>
                    <w:t xml:space="preserve">  North America</w:t>
                  </w:r>
                  <w:r>
                    <w:t xml:space="preserve"> </w:t>
                  </w:r>
                  <w:r>
                    <w:rPr>
                      <w:vertAlign w:val="superscript"/>
                    </w:rPr>
                    <w:t xml:space="preserve">a</w:t>
                  </w:r>
                </w:p>
              </w:tc>
              <w:tc>
                <w:tcPr/>
                <w:p>
                  <w:pPr>
                    <w:jc w:val="left"/>
                    <w:jc w:val="center"/>
                  </w:pPr>
                  <w:r>
                    <w:t xml:space="preserve">25 (0.6)</w:t>
                  </w:r>
                </w:p>
              </w:tc>
              <w:tc>
                <w:tcPr>
                  <w:gridSpan w:val="1"/>
                  <w:vMerge w:val="continue"/>
                </w:tcPr>
                <w:p>
                  <w:pPr/>
                </w:p>
              </w:tc>
            </w:tr>
            <w:tr>
              <w:tc>
                <w:tcPr/>
                <w:p>
                  <w:pPr>
                    <w:jc w:val="left"/>
                    <w:jc w:val="center"/>
                  </w:pPr>
                  <w:r>
                    <w:t xml:space="preserve">  Surinamese</w:t>
                  </w:r>
                </w:p>
              </w:tc>
              <w:tc>
                <w:tcPr/>
                <w:p>
                  <w:pPr>
                    <w:jc w:val="left"/>
                    <w:jc w:val="center"/>
                  </w:pPr>
                  <w:r>
                    <w:t xml:space="preserve">296 (6.9)</w:t>
                  </w:r>
                </w:p>
              </w:tc>
              <w:tc>
                <w:tcPr>
                  <w:gridSpan w:val="1"/>
                  <w:vMerge w:val="continue"/>
                </w:tcPr>
                <w:p>
                  <w:pPr/>
                </w:p>
              </w:tc>
            </w:tr>
            <w:tr>
              <w:tc>
                <w:tcPr/>
                <w:p>
                  <w:pPr>
                    <w:jc w:val="left"/>
                    <w:jc w:val="center"/>
                  </w:pPr>
                  <w:r>
                    <w:t xml:space="preserve">  Turkish</w:t>
                  </w:r>
                </w:p>
              </w:tc>
              <w:tc>
                <w:tcPr/>
                <w:p>
                  <w:pPr>
                    <w:jc w:val="left"/>
                    <w:jc w:val="center"/>
                  </w:pPr>
                  <w:r>
                    <w:t xml:space="preserve">247 (5.8)</w:t>
                  </w:r>
                </w:p>
              </w:tc>
              <w:tc>
                <w:tcPr>
                  <w:gridSpan w:val="1"/>
                  <w:vMerge w:val="continue"/>
                </w:tcPr>
                <w:p>
                  <w:pPr/>
                </w:p>
              </w:tc>
            </w:tr>
            <w:tr>
              <w:tc>
                <w:tcPr/>
                <w:p>
                  <w:pPr>
                    <w:jc w:val="left"/>
                    <w:jc w:val="center"/>
                  </w:pPr>
                  <w:r>
                    <w:rPr>
                      <w:bCs/>
                      <w:b/>
                    </w:rPr>
                    <w:t xml:space="preserve">Age of the child</w:t>
                  </w:r>
                  <w:r>
                    <w:t xml:space="preserve">, median (range), years</w:t>
                  </w:r>
                </w:p>
              </w:tc>
              <w:tc>
                <w:tcPr/>
                <w:p>
                  <w:pPr>
                    <w:jc w:val="left"/>
                    <w:jc w:val="center"/>
                  </w:pPr>
                  <w:r>
                    <w:t xml:space="preserve">13.5 (12.6–16.6)</w:t>
                  </w:r>
                </w:p>
              </w:tc>
              <w:tc>
                <w:tcPr/>
                <w:p>
                  <w:pPr>
                    <w:jc w:val="left"/>
                    <w:jc w:val="center"/>
                  </w:pPr>
                  <w:r>
                    <w:t xml:space="preserve">13.5 (12.8–15.0)</w:t>
                  </w:r>
                </w:p>
              </w:tc>
            </w:tr>
            <w:tr>
              <w:tc>
                <w:tcPr/>
                <w:p>
                  <w:pPr>
                    <w:jc w:val="left"/>
                    <w:jc w:val="center"/>
                  </w:pPr>
                  <w:r>
                    <w:rPr>
                      <w:bCs/>
                      <w:b/>
                    </w:rPr>
                    <w:t xml:space="preserve">Pre-pregnancy</w:t>
                  </w:r>
                  <w:r>
                    <w:t xml:space="preserve"> </w:t>
                  </w:r>
                  <w:r>
                    <w:rPr>
                      <w:bCs/>
                      <w:b/>
                    </w:rPr>
                    <w:t xml:space="preserve">BMI</w:t>
                  </w:r>
                  <w:r>
                    <w:t xml:space="preserve">, median (range), kg/m</w:t>
                  </w:r>
                  <w:r>
                    <w:rPr>
                      <w:vertAlign w:val="superscript"/>
                    </w:rPr>
                    <w:t xml:space="preserve">2</w:t>
                  </w:r>
                </w:p>
              </w:tc>
              <w:tc>
                <w:tcPr/>
                <w:p>
                  <w:pPr>
                    <w:jc w:val="left"/>
                    <w:jc w:val="center"/>
                  </w:pPr>
                  <w:r>
                    <w:t xml:space="preserve">22.6 (14.4–50.2)</w:t>
                  </w:r>
                </w:p>
              </w:tc>
              <w:tc>
                <w:tcPr/>
                <w:p>
                  <w:pPr>
                    <w:jc w:val="left"/>
                    <w:jc w:val="center"/>
                  </w:pPr>
                  <w:r>
                    <w:t xml:space="preserve">22.1 (12.5–48.6)</w:t>
                  </w:r>
                </w:p>
              </w:tc>
            </w:tr>
            <w:tr>
              <w:tc>
                <w:tcPr>
                  <w:gridSpan w:val="3"/>
                </w:tcPr>
                <w:p>
                  <w:pPr>
                    <w:jc w:val="left"/>
                    <w:jc w:val="center"/>
                  </w:pPr>
                  <w:r>
                    <w:rPr>
                      <w:bCs/>
                      <w:b/>
                    </w:rPr>
                    <w:t xml:space="preserve">Maternal smoking</w:t>
                  </w:r>
                  <w:r>
                    <w:t xml:space="preserve">, n (%)</w:t>
                  </w:r>
                </w:p>
              </w:tc>
            </w:tr>
            <w:tr>
              <w:tc>
                <w:tcPr/>
                <w:p>
                  <w:pPr>
                    <w:jc w:val="left"/>
                    <w:jc w:val="center"/>
                  </w:pPr>
                  <w:r>
                    <w:t xml:space="preserve">  Never</w:t>
                  </w:r>
                </w:p>
              </w:tc>
              <w:tc>
                <w:tcPr/>
                <w:p>
                  <w:pPr>
                    <w:jc w:val="left"/>
                    <w:jc w:val="center"/>
                  </w:pPr>
                  <w:r>
                    <w:t xml:space="preserve">3228 (76)</w:t>
                  </w:r>
                </w:p>
              </w:tc>
              <w:tc>
                <w:tcPr/>
                <w:p>
                  <w:pPr>
                    <w:jc w:val="left"/>
                    <w:jc w:val="center"/>
                  </w:pPr>
                  <w:r>
                    <w:t xml:space="preserve">4412 (52)</w:t>
                  </w:r>
                </w:p>
              </w:tc>
            </w:tr>
            <w:tr>
              <w:tc>
                <w:tcPr/>
                <w:p>
                  <w:pPr>
                    <w:jc w:val="left"/>
                    <w:jc w:val="center"/>
                  </w:pPr>
                  <w:r>
                    <w:t xml:space="preserve">  Until (early) pregnancy</w:t>
                  </w:r>
                </w:p>
              </w:tc>
              <w:tc>
                <w:tcPr/>
                <w:p>
                  <w:pPr>
                    <w:jc w:val="left"/>
                    <w:jc w:val="center"/>
                  </w:pPr>
                  <w:r>
                    <w:t xml:space="preserve">390 (9)</w:t>
                  </w:r>
                </w:p>
              </w:tc>
              <w:tc>
                <w:tcPr/>
                <w:p>
                  <w:pPr>
                    <w:jc w:val="left"/>
                    <w:jc w:val="center"/>
                  </w:pPr>
                  <w:r>
                    <w:t xml:space="preserve">2524 (30)</w:t>
                  </w:r>
                </w:p>
              </w:tc>
            </w:tr>
            <w:tr>
              <w:tc>
                <w:tcPr/>
                <w:p>
                  <w:pPr>
                    <w:jc w:val="left"/>
                    <w:jc w:val="center"/>
                  </w:pPr>
                  <w:r>
                    <w:t xml:space="preserve">  During pregnancy</w:t>
                  </w:r>
                </w:p>
              </w:tc>
              <w:tc>
                <w:tcPr/>
                <w:p>
                  <w:pPr>
                    <w:jc w:val="left"/>
                    <w:jc w:val="center"/>
                  </w:pPr>
                  <w:r>
                    <w:t xml:space="preserve">650 (15)</w:t>
                  </w:r>
                </w:p>
              </w:tc>
              <w:tc>
                <w:tcPr/>
                <w:p>
                  <w:pPr>
                    <w:jc w:val="left"/>
                    <w:jc w:val="center"/>
                  </w:pPr>
                  <w:r>
                    <w:t xml:space="preserve">1492 (18)</w:t>
                  </w:r>
                </w:p>
              </w:tc>
            </w:tr>
            <w:tr>
              <w:tc>
                <w:tcPr>
                  <w:gridSpan w:val="3"/>
                </w:tcPr>
                <w:p>
                  <w:pPr>
                    <w:jc w:val="left"/>
                    <w:jc w:val="center"/>
                  </w:pPr>
                  <w:r>
                    <w:rPr>
                      <w:bCs/>
                      <w:b/>
                    </w:rPr>
                    <w:t xml:space="preserve">Maternal alcohol consumption</w:t>
                  </w:r>
                  <w:r>
                    <w:t xml:space="preserve">, GenR: n (%); ALSPAC: median (range)</w:t>
                  </w:r>
                </w:p>
              </w:tc>
            </w:tr>
            <w:tr>
              <w:tc>
                <w:tcPr/>
                <w:p>
                  <w:pPr>
                    <w:jc w:val="left"/>
                    <w:jc w:val="center"/>
                  </w:pPr>
                  <w:r>
                    <w:t xml:space="preserve">  Never</w:t>
                  </w:r>
                </w:p>
              </w:tc>
              <w:tc>
                <w:tcPr/>
                <w:p>
                  <w:pPr>
                    <w:jc w:val="left"/>
                    <w:jc w:val="center"/>
                  </w:pPr>
                  <w:r>
                    <w:t xml:space="preserve">1694 (40)</w:t>
                  </w:r>
                </w:p>
              </w:tc>
              <w:tc>
                <w:tcPr>
                  <w:vMerge w:val="restart"/>
                </w:tcPr>
                <w:p>
                  <w:pPr>
                    <w:jc w:val="left"/>
                    <w:jc w:val="center"/>
                  </w:pPr>
                  <w:r>
                    <w:t xml:space="preserve">0.50 (0 – 3.5)</w:t>
                  </w:r>
                </w:p>
              </w:tc>
            </w:tr>
            <w:tr>
              <w:tc>
                <w:tcPr/>
                <w:p>
                  <w:pPr>
                    <w:jc w:val="left"/>
                    <w:jc w:val="center"/>
                  </w:pPr>
                  <w:r>
                    <w:t xml:space="preserve">  Until early pregnancy</w:t>
                  </w:r>
                </w:p>
              </w:tc>
              <w:tc>
                <w:tcPr/>
                <w:p>
                  <w:pPr>
                    <w:jc w:val="left"/>
                    <w:jc w:val="center"/>
                  </w:pPr>
                  <w:r>
                    <w:t xml:space="preserve">596 (14)</w:t>
                  </w:r>
                </w:p>
              </w:tc>
              <w:tc>
                <w:tcPr>
                  <w:gridSpan w:val="1"/>
                  <w:vMerge w:val="continue"/>
                </w:tcPr>
                <w:p>
                  <w:pPr/>
                </w:p>
              </w:tc>
            </w:tr>
            <w:tr>
              <w:tc>
                <w:tcPr/>
                <w:p>
                  <w:pPr>
                    <w:jc w:val="left"/>
                    <w:jc w:val="center"/>
                  </w:pPr>
                  <w:r>
                    <w:t xml:space="preserve">  Continued occasionally</w:t>
                  </w:r>
                </w:p>
              </w:tc>
              <w:tc>
                <w:tcPr/>
                <w:p>
                  <w:pPr>
                    <w:jc w:val="left"/>
                    <w:jc w:val="center"/>
                  </w:pPr>
                  <w:r>
                    <w:t xml:space="preserve">1570 (37)</w:t>
                  </w:r>
                </w:p>
              </w:tc>
              <w:tc>
                <w:tcPr>
                  <w:gridSpan w:val="1"/>
                  <w:vMerge w:val="continue"/>
                </w:tcPr>
                <w:p>
                  <w:pPr/>
                </w:p>
              </w:tc>
            </w:tr>
            <w:tr>
              <w:tc>
                <w:tcPr/>
                <w:p>
                  <w:pPr>
                    <w:jc w:val="left"/>
                    <w:jc w:val="center"/>
                  </w:pPr>
                  <w:r>
                    <w:t xml:space="preserve">  Continued frequently</w:t>
                  </w:r>
                </w:p>
              </w:tc>
              <w:tc>
                <w:tcPr/>
                <w:p>
                  <w:pPr>
                    <w:jc w:val="left"/>
                    <w:jc w:val="center"/>
                  </w:pPr>
                  <w:r>
                    <w:t xml:space="preserve">407 (10)</w:t>
                  </w:r>
                </w:p>
              </w:tc>
              <w:tc>
                <w:tcPr>
                  <w:gridSpan w:val="1"/>
                  <w:vMerge w:val="continue"/>
                </w:tcPr>
                <w:p>
                  <w:pPr/>
                </w:p>
              </w:tc>
            </w:tr>
            <w:tr>
              <w:tc>
                <w:tcPr>
                  <w:gridSpan w:val="3"/>
                </w:tcPr>
                <w:p>
                  <w:pPr>
                    <w:jc w:val="left"/>
                    <w:jc w:val="center"/>
                  </w:pPr>
                  <w:r>
                    <w:rPr>
                      <w:bCs/>
                      <w:b/>
                    </w:rPr>
                    <w:t xml:space="preserve">Maternal education</w:t>
                  </w:r>
                  <w:r>
                    <w:t xml:space="preserve">, n (%)</w:t>
                  </w:r>
                  <w:r>
                    <w:t xml:space="preserve"> </w:t>
                  </w:r>
                  <w:r>
                    <w:rPr>
                      <w:vertAlign w:val="superscript"/>
                    </w:rPr>
                    <w:t xml:space="preserve">b</w:t>
                  </w:r>
                </w:p>
              </w:tc>
            </w:tr>
            <w:tr>
              <w:tc>
                <w:tcPr/>
                <w:p>
                  <w:pPr>
                    <w:jc w:val="left"/>
                    <w:jc w:val="center"/>
                  </w:pPr>
                  <w:r>
                    <w:t xml:space="preserve">  Low</w:t>
                  </w:r>
                </w:p>
              </w:tc>
              <w:tc>
                <w:tcPr/>
                <w:p>
                  <w:pPr>
                    <w:jc w:val="left"/>
                    <w:jc w:val="center"/>
                  </w:pPr>
                  <w:r>
                    <w:t xml:space="preserve">1716 (40.2)</w:t>
                  </w:r>
                </w:p>
              </w:tc>
              <w:tc>
                <w:tcPr/>
                <w:p>
                  <w:pPr>
                    <w:jc w:val="left"/>
                    <w:jc w:val="center"/>
                  </w:pPr>
                  <w:r>
                    <w:t xml:space="preserve">4216 (50.0)</w:t>
                  </w:r>
                </w:p>
              </w:tc>
            </w:tr>
            <w:tr>
              <w:tc>
                <w:tcPr/>
                <w:p>
                  <w:pPr>
                    <w:jc w:val="left"/>
                    <w:jc w:val="center"/>
                  </w:pPr>
                  <w:r>
                    <w:t xml:space="preserve">  Medium</w:t>
                  </w:r>
                </w:p>
              </w:tc>
              <w:tc>
                <w:tcPr/>
                <w:p>
                  <w:pPr>
                    <w:jc w:val="left"/>
                    <w:jc w:val="center"/>
                  </w:pPr>
                  <w:r>
                    <w:t xml:space="preserve">1278 (29.9)</w:t>
                  </w:r>
                </w:p>
              </w:tc>
              <w:tc>
                <w:tcPr/>
                <w:p>
                  <w:pPr>
                    <w:jc w:val="left"/>
                    <w:jc w:val="center"/>
                  </w:pPr>
                  <w:r>
                    <w:t xml:space="preserve">3001 (35.6)</w:t>
                  </w:r>
                </w:p>
              </w:tc>
            </w:tr>
            <w:tr>
              <w:tc>
                <w:tcPr/>
                <w:p>
                  <w:pPr>
                    <w:jc w:val="left"/>
                    <w:jc w:val="center"/>
                  </w:pPr>
                  <w:r>
                    <w:t xml:space="preserve">  High</w:t>
                  </w:r>
                </w:p>
              </w:tc>
              <w:tc>
                <w:tcPr/>
                <w:p>
                  <w:pPr>
                    <w:jc w:val="left"/>
                    <w:jc w:val="center"/>
                  </w:pPr>
                  <w:r>
                    <w:t xml:space="preserve">1274 (29.9)</w:t>
                  </w:r>
                </w:p>
              </w:tc>
              <w:tc>
                <w:tcPr/>
                <w:p>
                  <w:pPr>
                    <w:jc w:val="left"/>
                    <w:jc w:val="center"/>
                  </w:pPr>
                  <w:r>
                    <w:t xml:space="preserve">1212 (14.4)</w:t>
                  </w:r>
                </w:p>
              </w:tc>
            </w:tr>
            <w:tr>
              <w:tc>
                <w:tcPr>
                  <w:gridSpan w:val="3"/>
                </w:tcPr>
                <w:p>
                  <w:pPr>
                    <w:jc w:val="left"/>
                    <w:jc w:val="center"/>
                  </w:pPr>
                  <w:r>
                    <w:rPr>
                      <w:bCs/>
                      <w:b/>
                    </w:rPr>
                    <w:t xml:space="preserve">Household income</w:t>
                  </w:r>
                  <w:r>
                    <w:t xml:space="preserve">, n (%)</w:t>
                  </w:r>
                  <w:r>
                    <w:t xml:space="preserve"> </w:t>
                  </w:r>
                  <w:r>
                    <w:rPr>
                      <w:vertAlign w:val="superscript"/>
                    </w:rPr>
                    <w:t xml:space="preserve">c</w:t>
                  </w:r>
                </w:p>
              </w:tc>
            </w:tr>
            <w:tr>
              <w:tc>
                <w:tcPr/>
                <w:p>
                  <w:pPr>
                    <w:jc w:val="left"/>
                    <w:jc w:val="center"/>
                  </w:pPr>
                  <w:r>
                    <w:t xml:space="preserve">  Low</w:t>
                  </w:r>
                </w:p>
              </w:tc>
              <w:tc>
                <w:tcPr/>
                <w:p>
                  <w:pPr>
                    <w:jc w:val="left"/>
                    <w:jc w:val="center"/>
                  </w:pPr>
                  <w:r>
                    <w:t xml:space="preserve">702 (16.4)</w:t>
                  </w:r>
                </w:p>
              </w:tc>
              <w:tc>
                <w:tcPr/>
                <w:p>
                  <w:pPr>
                    <w:jc w:val="left"/>
                    <w:jc w:val="center"/>
                  </w:pPr>
                  <w:r>
                    <w:t xml:space="preserve">1318 (15.6)</w:t>
                  </w:r>
                </w:p>
              </w:tc>
            </w:tr>
            <w:tr>
              <w:tc>
                <w:tcPr/>
                <w:p>
                  <w:pPr>
                    <w:jc w:val="left"/>
                    <w:jc w:val="center"/>
                  </w:pPr>
                  <w:r>
                    <w:t xml:space="preserve">  Medium</w:t>
                  </w:r>
                </w:p>
              </w:tc>
              <w:tc>
                <w:tcPr/>
                <w:p>
                  <w:pPr>
                    <w:jc w:val="left"/>
                    <w:jc w:val="center"/>
                  </w:pPr>
                  <w:r>
                    <w:t xml:space="preserve">2070 (48.5)</w:t>
                  </w:r>
                </w:p>
              </w:tc>
              <w:tc>
                <w:tcPr/>
                <w:p>
                  <w:pPr>
                    <w:jc w:val="left"/>
                    <w:jc w:val="center"/>
                  </w:pPr>
                  <w:r>
                    <w:t xml:space="preserve">4324 (51.3)</w:t>
                  </w:r>
                </w:p>
              </w:tc>
            </w:tr>
            <w:tr>
              <w:tc>
                <w:tcPr/>
                <w:p>
                  <w:pPr>
                    <w:jc w:val="left"/>
                    <w:jc w:val="center"/>
                  </w:pPr>
                  <w:r>
                    <w:t xml:space="preserve">  High</w:t>
                  </w:r>
                </w:p>
              </w:tc>
              <w:tc>
                <w:tcPr/>
                <w:p>
                  <w:pPr>
                    <w:jc w:val="left"/>
                    <w:jc w:val="center"/>
                  </w:pPr>
                  <w:r>
                    <w:t xml:space="preserve">1497 (35.1)</w:t>
                  </w:r>
                </w:p>
              </w:tc>
              <w:tc>
                <w:tcPr/>
                <w:p>
                  <w:pPr>
                    <w:jc w:val="left"/>
                    <w:jc w:val="center"/>
                  </w:pPr>
                  <w:r>
                    <w:t xml:space="preserve">2786 (33.1)</w:t>
                  </w:r>
                </w:p>
              </w:tc>
            </w:tr>
            <w:tr>
              <w:tc>
                <w:tcPr>
                  <w:gridSpan w:val="3"/>
                </w:tcPr>
                <w:p>
                  <w:pPr>
                    <w:pStyle w:val="Compact"/>
                    <w:jc w:val="left"/>
                    <w:jc w:val="center"/>
                  </w:pPr>
                  <w:r>
                    <w:rPr>
                      <w:u w:val="single"/>
                    </w:rPr>
                    <w:t xml:space="preserve">Note</w:t>
                  </w:r>
                  <w:r>
                    <w:t xml:space="preserve">: Sample descriptives pooled across 30 imputed datasets. BMI = Body-mass index.</w:t>
                  </w:r>
                </w:p>
              </w:tc>
            </w:tr>
            <w:tr>
              <w:tc>
                <w:tcPr>
                  <w:gridSpan w:val="3"/>
                </w:tcPr>
                <w:p>
                  <w:pPr>
                    <w:pStyle w:val="Compact"/>
                    <w:jc w:val="left"/>
                    <w:jc w:val="center"/>
                  </w:pPr>
                  <w:r>
                    <w:rPr>
                      <w:vertAlign w:val="superscript"/>
                    </w:rPr>
                    <w:t xml:space="preserve">a</w:t>
                  </w:r>
                  <w:r>
                    <w:t xml:space="preserve"> </w:t>
                  </w:r>
                  <w:r>
                    <w:rPr>
                      <w:bCs/>
                      <w:b/>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left"/>
                    <w:jc w:val="center"/>
                  </w:pPr>
                  <w:r>
                    <w:rPr>
                      <w:vertAlign w:val="superscript"/>
                    </w:rPr>
                    <w:t xml:space="preserve">b</w:t>
                  </w:r>
                  <w:r>
                    <w:t xml:space="preserve"> </w:t>
                  </w:r>
                  <w:r>
                    <w:rPr>
                      <w:bCs/>
                      <w:b/>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left"/>
                    <w:jc w:val="center"/>
                  </w:pPr>
                  <w:r>
                    <w:rPr>
                      <w:vertAlign w:val="superscript"/>
                    </w:rPr>
                    <w:t xml:space="preserve">c</w:t>
                  </w:r>
                  <w:r>
                    <w:t xml:space="preserve"> </w:t>
                  </w:r>
                  <w:r>
                    <w:rPr>
                      <w:bCs/>
                      <w:b/>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18"/>
          <w:p/>
        </w:tc>
      </w:tr>
    </w:tbl>
    <w:bookmarkEnd w:id="119"/>
    <w:bookmarkStart w:id="124"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1.2">
        <w:r>
          <w:rPr>
            <w:rStyle w:val="Hyperlink"/>
          </w:rPr>
          <w:t xml:space="preserve">Figure 2.2</w:t>
        </w:r>
      </w:hyperlink>
      <w:r>
        <w:t xml:space="preserve"> </w:t>
      </w:r>
      <w:r>
        <w:t xml:space="preserve">and online</w:t>
      </w:r>
      <w:r>
        <w:t xml:space="preserve"> </w:t>
      </w:r>
      <w:r>
        <w:rPr>
          <w:bCs/>
          <w:b/>
        </w:rPr>
        <w:t xml:space="preserve">Table S2</w:t>
      </w:r>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ook w:firstRow="0" w:lastRow="0" w:firstColumn="0" w:lastColumn="0" w:noHBand="0" w:noVBand="0" w:val="0000"/>
        <w:jc w:val="start"/>
        <w:tblLayout w:type="fixed"/>
      </w:tblPr>
      <w:tblGrid>
        <w:gridCol w:w="7920"/>
      </w:tblGrid>
      <w:tr>
        <w:tc>
          <w:tcPr/>
          <w:bookmarkStart w:id="123" w:name="fig-1.2"/>
          <w:p>
            <w:pPr>
              <w:pStyle w:val="Compact"/>
              <w:jc w:val="center"/>
            </w:pPr>
            <w:r>
              <w:drawing>
                <wp:inline>
                  <wp:extent cx="5943600" cy="8410943"/>
                  <wp:effectExtent b="0" l="0" r="0" t="0"/>
                  <wp:docPr descr="" title="" id="121" name="Picture"/>
                  <a:graphic>
                    <a:graphicData uri="http://schemas.openxmlformats.org/drawingml/2006/picture">
                      <pic:pic>
                        <pic:nvPicPr>
                          <pic:cNvPr descr="2.Chapter/Figures/F2_CMAres.pdf" id="122" name="Picture"/>
                          <pic:cNvPicPr>
                            <a:picLocks noChangeArrowheads="1" noChangeAspect="1"/>
                          </pic:cNvPicPr>
                        </pic:nvPicPr>
                        <pic:blipFill>
                          <a:blip r:embed="rId120"/>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Cs/>
                <w:b/>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23"/>
        </w:tc>
      </w:tr>
    </w:tbl>
    <w:bookmarkEnd w:id="124"/>
    <w:bookmarkStart w:id="129"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1.3">
        <w:r>
          <w:rPr>
            <w:rStyle w:val="Hyperlink"/>
          </w:rPr>
          <w:t xml:space="preserve">Figure 2.3</w:t>
        </w:r>
      </w:hyperlink>
      <w:r>
        <w:t xml:space="preserve">; online</w:t>
      </w:r>
      <w:r>
        <w:t xml:space="preserve"> </w:t>
      </w:r>
      <w:r>
        <w:rPr>
          <w:bCs/>
          <w:b/>
        </w:rPr>
        <w:t xml:space="preserve">Tables S3 and S4</w:t>
      </w:r>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ook w:firstRow="0" w:lastRow="0" w:firstColumn="0" w:lastColumn="0" w:noHBand="0" w:noVBand="0" w:val="0000"/>
        <w:jc w:val="start"/>
        <w:tblLayout w:type="fixed"/>
      </w:tblPr>
      <w:tblGrid>
        <w:gridCol w:w="7920"/>
      </w:tblGrid>
      <w:tr>
        <w:tc>
          <w:tcPr/>
          <w:bookmarkStart w:id="128" w:name="fig-1.3"/>
          <w:p>
            <w:pPr>
              <w:pStyle w:val="Compact"/>
              <w:jc w:val="center"/>
            </w:pPr>
            <w:r>
              <w:drawing>
                <wp:inline>
                  <wp:extent cx="5943600" cy="8410943"/>
                  <wp:effectExtent b="0" l="0" r="0" t="0"/>
                  <wp:docPr descr="" title="" id="126" name="Picture"/>
                  <a:graphic>
                    <a:graphicData uri="http://schemas.openxmlformats.org/drawingml/2006/picture">
                      <pic:pic>
                        <pic:nvPicPr>
                          <pic:cNvPr descr="2.Chapter/Figures/F3_regress.pdf" id="127" name="Picture"/>
                          <pic:cNvPicPr>
                            <a:picLocks noChangeArrowheads="1" noChangeAspect="1"/>
                          </pic:cNvPicPr>
                        </pic:nvPicPr>
                        <pic:blipFill>
                          <a:blip r:embed="rId125"/>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Cs/>
                <w:b/>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28"/>
        </w:tc>
      </w:tr>
    </w:tbl>
    <w:bookmarkEnd w:id="129"/>
    <w:bookmarkStart w:id="134"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1.4">
        <w:r>
          <w:rPr>
            <w:rStyle w:val="Hyperlink"/>
          </w:rPr>
          <w:t xml:space="preserve">Figure 2.4</w:t>
        </w:r>
      </w:hyperlink>
      <w:r>
        <w:t xml:space="preserve"> </w:t>
      </w:r>
      <w:r>
        <w:t xml:space="preserve">and online</w:t>
      </w:r>
      <w:r>
        <w:t xml:space="preserve"> </w:t>
      </w:r>
      <w:r>
        <w:rPr>
          <w:bCs/>
          <w:b/>
        </w:rPr>
        <w:t xml:space="preserve">Table S5</w:t>
      </w:r>
      <w:r>
        <w:t xml:space="preserve">). This association was the strongest compared to all other (single-outcome) groups. However, the CIs of the comorbidity estimates did overlap with those of high internalizing only (</w:t>
      </w:r>
      <w:hyperlink w:anchor="fig-1.4">
        <w:r>
          <w:rPr>
            <w:rStyle w:val="Hyperlink"/>
          </w:rPr>
          <w:t xml:space="preserve">Figure 2.4</w:t>
        </w:r>
      </w:hyperlink>
      <w:r>
        <w:t xml:space="preserve"> </w:t>
      </w:r>
      <w:r>
        <w:t xml:space="preserve">C and D).</w:t>
      </w:r>
    </w:p>
    <w:tbl>
      <w:tblPr>
        <w:tblStyle w:val="Table"/>
        <w:tblW w:type="pct" w:w="5000"/>
        <w:tblLook w:firstRow="0" w:lastRow="0" w:firstColumn="0" w:lastColumn="0" w:noHBand="0" w:noVBand="0" w:val="0000"/>
        <w:jc w:val="start"/>
        <w:tblLayout w:type="fixed"/>
      </w:tblPr>
      <w:tblGrid>
        <w:gridCol w:w="7920"/>
      </w:tblGrid>
      <w:tr>
        <w:tc>
          <w:tcPr/>
          <w:bookmarkStart w:id="133" w:name="fig-1.4"/>
          <w:p>
            <w:pPr>
              <w:pStyle w:val="Compact"/>
              <w:jc w:val="center"/>
            </w:pPr>
            <w:r>
              <w:drawing>
                <wp:inline>
                  <wp:extent cx="5943600" cy="8410943"/>
                  <wp:effectExtent b="0" l="0" r="0" t="0"/>
                  <wp:docPr descr="" title="" id="131" name="Picture"/>
                  <a:graphic>
                    <a:graphicData uri="http://schemas.openxmlformats.org/drawingml/2006/picture">
                      <pic:pic>
                        <pic:nvPicPr>
                          <pic:cNvPr descr="2.Chapter/Figures/F4_comorb.pdf" id="132" name="Picture"/>
                          <pic:cNvPicPr>
                            <a:picLocks noChangeArrowheads="1" noChangeAspect="1"/>
                          </pic:cNvPicPr>
                        </pic:nvPicPr>
                        <pic:blipFill>
                          <a:blip r:embed="rId130"/>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Cs/>
                <w:b/>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33"/>
        </w:tc>
      </w:tr>
    </w:tbl>
    <w:bookmarkEnd w:id="134"/>
    <w:bookmarkStart w:id="138" w:name="follow-up-analyses"/>
    <w:p>
      <w:pPr>
        <w:pStyle w:val="Heading3"/>
      </w:pPr>
      <w:r>
        <w:t xml:space="preserve">Follow-up analyses</w:t>
      </w:r>
    </w:p>
    <w:bookmarkStart w:id="135"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Cs/>
          <w:i/>
        </w:rPr>
        <w:t xml:space="preserve">Z</w:t>
      </w:r>
      <w:r>
        <w:t xml:space="preserve">=1.89,</w:t>
      </w:r>
      <w:r>
        <w:t xml:space="preserve"> </w:t>
      </w:r>
      <w:r>
        <w:rPr>
          <w:iCs/>
          <w:i/>
        </w:rPr>
        <w:t xml:space="preserve">p</w:t>
      </w:r>
      <w:r>
        <w:t xml:space="preserve">=.029), whereas that of postnatal ELS was slightly larger in boys (</w:t>
      </w:r>
      <w:r>
        <w:rPr>
          <w:iCs/>
          <w:i/>
        </w:rPr>
        <w:t xml:space="preserve">Z</w:t>
      </w:r>
      <w:r>
        <w:t xml:space="preserve">=-1.38,</w:t>
      </w:r>
      <w:r>
        <w:t xml:space="preserve"> </w:t>
      </w:r>
      <w:r>
        <w:rPr>
          <w:iCs/>
          <w:i/>
        </w:rPr>
        <w:t xml:space="preserve">p</w:t>
      </w:r>
      <w:r>
        <w:t xml:space="preserve">=.083). A similar pattern of associations was found in ALSPAC but with smaller magnitudes (see</w:t>
      </w:r>
      <w:r>
        <w:t xml:space="preserve"> </w:t>
      </w:r>
      <w:r>
        <w:rPr>
          <w:bCs/>
          <w:b/>
        </w:rPr>
        <w:t xml:space="preserve">Figures S2-S4</w:t>
      </w:r>
      <w:r>
        <w:t xml:space="preserve"> </w:t>
      </w:r>
      <w:r>
        <w:t xml:space="preserve">and</w:t>
      </w:r>
      <w:r>
        <w:t xml:space="preserve"> </w:t>
      </w:r>
      <w:r>
        <w:rPr>
          <w:bCs/>
          <w:b/>
        </w:rPr>
        <w:t xml:space="preserve">Tables S6-S9</w:t>
      </w:r>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r>
        <w:rPr>
          <w:bCs/>
          <w:b/>
        </w:rPr>
        <w:t xml:space="preserve">Figure S5-B</w:t>
      </w:r>
      <w:r>
        <w:t xml:space="preserve">). We did not find evidence for a significant interaction between pre- or postnatal ELS and the examined ethnic background groups on any outcome of interest (i.e., internalizing symptoms, adiposity or comorbidity; see</w:t>
      </w:r>
      <w:r>
        <w:t xml:space="preserve"> </w:t>
      </w:r>
      <w:r>
        <w:rPr>
          <w:bCs/>
          <w:b/>
        </w:rPr>
        <w:t xml:space="preserve">Table S10</w:t>
      </w:r>
      <w:r>
        <w:t xml:space="preserve"> </w:t>
      </w:r>
      <w:r>
        <w:t xml:space="preserve">and</w:t>
      </w:r>
      <w:r>
        <w:t xml:space="preserve"> </w:t>
      </w:r>
      <w:r>
        <w:rPr>
          <w:bCs/>
          <w:b/>
        </w:rPr>
        <w:t xml:space="preserve">Figure S5-C</w:t>
      </w:r>
      <w:r>
        <w:t xml:space="preserve">, available online). Note however that the association between pre-/postnatal ELS and comorbidity in the</w:t>
      </w:r>
      <w:r>
        <w:t xml:space="preserve"> </w:t>
      </w:r>
      <w:r>
        <w:t xml:space="preserve">“</w:t>
      </w:r>
      <w:r>
        <w:t xml:space="preserve">North American</w:t>
      </w:r>
      <w:r>
        <w:t xml:space="preserve">”</w:t>
      </w:r>
      <w:r>
        <w:t xml:space="preserve"> </w:t>
      </w:r>
      <w:r>
        <w:t xml:space="preserve">group could not be estimated due to insufficient number of observations (i.e., comorbidity group size ≤ 5).</w:t>
      </w:r>
    </w:p>
    <w:bookmarkEnd w:id="135"/>
    <w:bookmarkStart w:id="136"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r>
        <w:rPr>
          <w:bCs/>
          <w:b/>
        </w:rPr>
        <w:t xml:space="preserve">Figure S6</w:t>
      </w:r>
      <w:r>
        <w:t xml:space="preserve"> </w:t>
      </w:r>
      <w:r>
        <w:t xml:space="preserve">and</w:t>
      </w:r>
      <w:r>
        <w:t xml:space="preserve"> </w:t>
      </w:r>
      <w:r>
        <w:rPr>
          <w:bCs/>
          <w:b/>
        </w:rPr>
        <w:t xml:space="preserve">Table S11</w:t>
      </w:r>
      <w:r>
        <w:t xml:space="preserve">, available online). We found no consistent associations for adiposity. Only postnatal parental risk was consistently associated comorbidity status (vs. healthy) across cohorts (see</w:t>
      </w:r>
      <w:r>
        <w:t xml:space="preserve"> </w:t>
      </w:r>
      <w:r>
        <w:rPr>
          <w:bCs/>
          <w:b/>
        </w:rPr>
        <w:t xml:space="preserve">Figure S7</w:t>
      </w:r>
      <w:r>
        <w:t xml:space="preserve"> </w:t>
      </w:r>
      <w:r>
        <w:t xml:space="preserve">and</w:t>
      </w:r>
      <w:r>
        <w:t xml:space="preserve"> </w:t>
      </w:r>
      <w:r>
        <w:rPr>
          <w:bCs/>
          <w:b/>
        </w:rPr>
        <w:t xml:space="preserve">Table S12</w:t>
      </w:r>
      <w:r>
        <w:t xml:space="preserve">, available online).</w:t>
      </w:r>
    </w:p>
    <w:bookmarkEnd w:id="136"/>
    <w:bookmarkStart w:id="137"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r>
        <w:rPr>
          <w:bCs/>
          <w:b/>
        </w:rPr>
        <w:t xml:space="preserve">Figure S8</w:t>
      </w:r>
      <w:r>
        <w:t xml:space="preserve"> </w:t>
      </w:r>
      <w:r>
        <w:t xml:space="preserve">and</w:t>
      </w:r>
      <w:r>
        <w:t xml:space="preserve"> </w:t>
      </w:r>
      <w:r>
        <w:rPr>
          <w:bCs/>
          <w:b/>
        </w:rPr>
        <w:t xml:space="preserve">Tables S13-S15</w:t>
      </w:r>
      <w:r>
        <w:t xml:space="preserve">, available online), nor did the use of android fat mass rather than fat mass percentage as a proxy of adiposity (see</w:t>
      </w:r>
      <w:r>
        <w:t xml:space="preserve"> </w:t>
      </w:r>
      <w:r>
        <w:rPr>
          <w:bCs/>
          <w:b/>
        </w:rPr>
        <w:t xml:space="preserve">Figure S9</w:t>
      </w:r>
      <w:r>
        <w:t xml:space="preserve"> </w:t>
      </w:r>
      <w:r>
        <w:t xml:space="preserve">and</w:t>
      </w:r>
      <w:r>
        <w:t xml:space="preserve"> </w:t>
      </w:r>
      <w:r>
        <w:rPr>
          <w:bCs/>
          <w:b/>
        </w:rPr>
        <w:t xml:space="preserve">Table S16</w:t>
      </w:r>
      <w:r>
        <w:t xml:space="preserve">, available online). None of the main conclusions was impacted by FDR correction.</w:t>
      </w:r>
    </w:p>
    <w:bookmarkEnd w:id="137"/>
    <w:bookmarkEnd w:id="138"/>
    <w:bookmarkEnd w:id="139"/>
    <w:bookmarkStart w:id="140"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w:t>
      </w:r>
      <w:r>
        <w:t xml:space="preserve">direct</w:t>
      </w:r>
      <w:r>
        <w:t xml:space="preserve">”</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40"/>
    <w:bookmarkStart w:id="214" w:name="references-1"/>
    <w:p>
      <w:pPr>
        <w:pStyle w:val="Heading2"/>
      </w:pPr>
      <w:r>
        <w:t xml:space="preserve">References</w:t>
      </w:r>
    </w:p>
    <w:bookmarkStart w:id="213" w:name="refs--2"/>
    <w:bookmarkStart w:id="141" w:name="ref-Achenbach1999"/>
    <w:p>
      <w:pPr>
        <w:pStyle w:val="FirstParagraph"/>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141"/>
    <w:bookmarkStart w:id="142" w:name="ref-Alders2001"/>
    <w:p>
      <w:pPr>
        <w:pStyle w:val="BodyText"/>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142"/>
    <w:bookmarkStart w:id="143" w:name="ref-Anwar2018"/>
    <w:p>
      <w:pPr>
        <w:pStyle w:val="BodyText"/>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143"/>
    <w:bookmarkStart w:id="144" w:name="ref-Barker1998"/>
    <w:p>
      <w:pPr>
        <w:pStyle w:val="BodyText"/>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144"/>
    <w:bookmarkStart w:id="146"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45">
        <w:r>
          <w:rPr>
            <w:rStyle w:val="Hyperlink"/>
          </w:rPr>
          <w:t xml:space="preserve">https://doi.org/10.1016/S0140-6736(12)60240-2</w:t>
        </w:r>
      </w:hyperlink>
    </w:p>
    <w:bookmarkEnd w:id="146"/>
    <w:bookmarkStart w:id="148"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7">
        <w:r>
          <w:rPr>
            <w:rStyle w:val="Hyperlink"/>
          </w:rPr>
          <w:t xml:space="preserve">https://doi.org/10.1093/ije/dys064</w:t>
        </w:r>
      </w:hyperlink>
    </w:p>
    <w:bookmarkEnd w:id="148"/>
    <w:bookmarkStart w:id="150"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49">
        <w:r>
          <w:rPr>
            <w:rStyle w:val="Hyperlink"/>
          </w:rPr>
          <w:t xml:space="preserve">https://doi.org/10.1038/s41366-019-0423-z</w:t>
        </w:r>
      </w:hyperlink>
    </w:p>
    <w:bookmarkEnd w:id="150"/>
    <w:bookmarkStart w:id="152"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51">
        <w:r>
          <w:rPr>
            <w:rStyle w:val="Hyperlink"/>
          </w:rPr>
          <w:t xml:space="preserve">https://doi.org/10.1038/mp.2014.95</w:t>
        </w:r>
      </w:hyperlink>
    </w:p>
    <w:bookmarkEnd w:id="152"/>
    <w:bookmarkStart w:id="154" w:name="ref-Cecil2017"/>
    <w:p>
      <w:pPr>
        <w:pStyle w:val="BodyText"/>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53">
        <w:r>
          <w:rPr>
            <w:rStyle w:val="Hyperlink"/>
          </w:rPr>
          <w:t xml:space="preserve">https://doi.org/10.1016/j.chiabu.2016.11.024</w:t>
        </w:r>
      </w:hyperlink>
    </w:p>
    <w:bookmarkEnd w:id="154"/>
    <w:bookmarkStart w:id="156"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55">
        <w:r>
          <w:rPr>
            <w:rStyle w:val="Hyperlink"/>
          </w:rPr>
          <w:t xml:space="preserve">https://doi.org/10.1017/S0033291721004311</w:t>
        </w:r>
      </w:hyperlink>
    </w:p>
    <w:bookmarkEnd w:id="156"/>
    <w:bookmarkStart w:id="157" w:name="ref-Danese2014"/>
    <w:p>
      <w:pPr>
        <w:pStyle w:val="BodyText"/>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157"/>
    <w:bookmarkStart w:id="159"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58">
        <w:r>
          <w:rPr>
            <w:rStyle w:val="Hyperlink"/>
          </w:rPr>
          <w:t xml:space="preserve">https://doi.org/10.1016/j.jclinepi.2007.11.008</w:t>
        </w:r>
      </w:hyperlink>
    </w:p>
    <w:bookmarkEnd w:id="159"/>
    <w:bookmarkStart w:id="161"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60">
        <w:r>
          <w:rPr>
            <w:rStyle w:val="Hyperlink"/>
          </w:rPr>
          <w:t xml:space="preserve">https://doi.org/10.1002/oby.21797</w:t>
        </w:r>
      </w:hyperlink>
    </w:p>
    <w:bookmarkEnd w:id="161"/>
    <w:bookmarkStart w:id="163" w:name="ref-Entringer2013"/>
    <w:p>
      <w:pPr>
        <w:pStyle w:val="BodyText"/>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62">
        <w:r>
          <w:rPr>
            <w:rStyle w:val="Hyperlink"/>
          </w:rPr>
          <w:t xml:space="preserve">https://doi.org/10.1097/MCO.0b013e32835e8d80</w:t>
        </w:r>
      </w:hyperlink>
    </w:p>
    <w:bookmarkEnd w:id="163"/>
    <w:bookmarkStart w:id="165"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64">
        <w:r>
          <w:rPr>
            <w:rStyle w:val="Hyperlink"/>
          </w:rPr>
          <w:t xml:space="preserve">https://doi.org/10.1155/2012/632548</w:t>
        </w:r>
      </w:hyperlink>
    </w:p>
    <w:bookmarkEnd w:id="165"/>
    <w:bookmarkStart w:id="167"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6">
        <w:r>
          <w:rPr>
            <w:rStyle w:val="Hyperlink"/>
          </w:rPr>
          <w:t xml:space="preserve">https://doi.org/10.1093/ije/dys066</w:t>
        </w:r>
      </w:hyperlink>
    </w:p>
    <w:bookmarkEnd w:id="167"/>
    <w:bookmarkStart w:id="168" w:name="ref-Gluckman2008"/>
    <w:p>
      <w:pPr>
        <w:pStyle w:val="BodyText"/>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168"/>
    <w:bookmarkStart w:id="169"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169"/>
    <w:bookmarkStart w:id="171" w:name="ref-Goodman1999"/>
    <w:p>
      <w:pPr>
        <w:pStyle w:val="BodyText"/>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70">
        <w:r>
          <w:rPr>
            <w:rStyle w:val="Hyperlink"/>
          </w:rPr>
          <w:t xml:space="preserve">https://doi.org/10.1023/A:1022658222914</w:t>
        </w:r>
      </w:hyperlink>
    </w:p>
    <w:bookmarkEnd w:id="171"/>
    <w:bookmarkStart w:id="173" w:name="ref-Hare2014"/>
    <w:p>
      <w:pPr>
        <w:pStyle w:val="BodyText"/>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72">
        <w:r>
          <w:rPr>
            <w:rStyle w:val="Hyperlink"/>
          </w:rPr>
          <w:t xml:space="preserve">https://doi.org/10.1093/eurheartj/eht462</w:t>
        </w:r>
      </w:hyperlink>
    </w:p>
    <w:bookmarkEnd w:id="173"/>
    <w:bookmarkStart w:id="175" w:name="ref-Hartman2018"/>
    <w:p>
      <w:pPr>
        <w:pStyle w:val="BodyText"/>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74">
        <w:r>
          <w:rPr>
            <w:rStyle w:val="Hyperlink"/>
          </w:rPr>
          <w:t xml:space="preserve">https://doi.org/10.1017/s0954579418000548</w:t>
        </w:r>
      </w:hyperlink>
    </w:p>
    <w:bookmarkEnd w:id="175"/>
    <w:bookmarkStart w:id="177"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76">
        <w:r>
          <w:rPr>
            <w:rStyle w:val="Hyperlink"/>
          </w:rPr>
          <w:t xml:space="preserve">https://doi.org/10.1111/ijpo.12885</w:t>
        </w:r>
      </w:hyperlink>
    </w:p>
    <w:bookmarkEnd w:id="177"/>
    <w:bookmarkStart w:id="179" w:name="ref-Juster2016"/>
    <w:p>
      <w:pPr>
        <w:pStyle w:val="BodyText"/>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78">
        <w:r>
          <w:rPr>
            <w:rStyle w:val="Hyperlink"/>
          </w:rPr>
          <w:t xml:space="preserve">https://doi.org/10.1017/s0954579416000730</w:t>
        </w:r>
      </w:hyperlink>
    </w:p>
    <w:bookmarkEnd w:id="179"/>
    <w:bookmarkStart w:id="181"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80">
        <w:r>
          <w:rPr>
            <w:rStyle w:val="Hyperlink"/>
          </w:rPr>
          <w:t xml:space="preserve">https://doi.org/10.1007/s10654-016-0224-9</w:t>
        </w:r>
      </w:hyperlink>
    </w:p>
    <w:bookmarkEnd w:id="181"/>
    <w:bookmarkStart w:id="182"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8">
        <w:r>
          <w:rPr>
            <w:rStyle w:val="Hyperlink"/>
          </w:rPr>
          <w:t xml:space="preserve">https://doi.org/10.1017/s0033291715002743</w:t>
        </w:r>
      </w:hyperlink>
    </w:p>
    <w:bookmarkEnd w:id="182"/>
    <w:bookmarkStart w:id="184" w:name="ref-Murphy2017"/>
    <w:p>
      <w:pPr>
        <w:pStyle w:val="BodyText"/>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83">
        <w:r>
          <w:rPr>
            <w:rStyle w:val="Hyperlink"/>
          </w:rPr>
          <w:t xml:space="preserve">https://doi.org/10.1152/ajpregu.00185.2016</w:t>
        </w:r>
      </w:hyperlink>
    </w:p>
    <w:bookmarkEnd w:id="184"/>
    <w:bookmarkStart w:id="185"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185"/>
    <w:bookmarkStart w:id="187"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86">
        <w:r>
          <w:rPr>
            <w:rStyle w:val="Hyperlink"/>
          </w:rPr>
          <w:t xml:space="preserve">https://doi.org/10.1080/07315724.2016.1261053</w:t>
        </w:r>
      </w:hyperlink>
    </w:p>
    <w:bookmarkEnd w:id="187"/>
    <w:bookmarkStart w:id="189"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88">
        <w:r>
          <w:rPr>
            <w:rStyle w:val="Hyperlink"/>
          </w:rPr>
          <w:t xml:space="preserve">https://doi.org/10.1192/bjp.bp.114.156620</w:t>
        </w:r>
      </w:hyperlink>
    </w:p>
    <w:bookmarkEnd w:id="189"/>
    <w:bookmarkStart w:id="190" w:name="ref-Pratt2014"/>
    <w:p>
      <w:pPr>
        <w:pStyle w:val="BodyText"/>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190"/>
    <w:bookmarkStart w:id="192" w:name="ref-R2021"/>
    <w:p>
      <w:pPr>
        <w:pStyle w:val="BodyText"/>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91">
        <w:r>
          <w:rPr>
            <w:rStyle w:val="Hyperlink"/>
          </w:rPr>
          <w:t xml:space="preserve">https://www.R-project.org/</w:t>
        </w:r>
      </w:hyperlink>
    </w:p>
    <w:bookmarkEnd w:id="192"/>
    <w:bookmarkStart w:id="194"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93">
        <w:r>
          <w:rPr>
            <w:rStyle w:val="Hyperlink"/>
          </w:rPr>
          <w:t xml:space="preserve">https://doi.org/10.1080/15592294.2016.1145329</w:t>
        </w:r>
      </w:hyperlink>
    </w:p>
    <w:bookmarkEnd w:id="194"/>
    <w:bookmarkStart w:id="196"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95">
        <w:r>
          <w:rPr>
            <w:rStyle w:val="Hyperlink"/>
          </w:rPr>
          <w:t xml:space="preserve">https://doi.org/10.1111/cdev.13825</w:t>
        </w:r>
      </w:hyperlink>
    </w:p>
    <w:bookmarkEnd w:id="196"/>
    <w:bookmarkStart w:id="198"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97">
        <w:r>
          <w:rPr>
            <w:rStyle w:val="Hyperlink"/>
          </w:rPr>
          <w:t xml:space="preserve">https://doi.org/10.1542/peds.2011-2663</w:t>
        </w:r>
      </w:hyperlink>
    </w:p>
    <w:bookmarkEnd w:id="198"/>
    <w:bookmarkStart w:id="200" w:name="ref-Slopen2014"/>
    <w:p>
      <w:pPr>
        <w:pStyle w:val="BodyText"/>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199">
        <w:r>
          <w:rPr>
            <w:rStyle w:val="Hyperlink"/>
          </w:rPr>
          <w:t xml:space="preserve">https://doi.org/10.1016/j.jpeds.2013.11.003</w:t>
        </w:r>
      </w:hyperlink>
    </w:p>
    <w:bookmarkEnd w:id="200"/>
    <w:bookmarkStart w:id="202" w:name="ref-Sutaria2019"/>
    <w:p>
      <w:pPr>
        <w:pStyle w:val="BodyText"/>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201">
        <w:r>
          <w:rPr>
            <w:rStyle w:val="Hyperlink"/>
          </w:rPr>
          <w:t xml:space="preserve">https://doi.org/10.1136/archdischild-2017-314608</w:t>
        </w:r>
      </w:hyperlink>
    </w:p>
    <w:bookmarkEnd w:id="202"/>
    <w:bookmarkStart w:id="204" w:name="ref-vanBuuren2018"/>
    <w:p>
      <w:pPr>
        <w:pStyle w:val="BodyText"/>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203">
        <w:r>
          <w:rPr>
            <w:rStyle w:val="Hyperlink"/>
          </w:rPr>
          <w:t xml:space="preserve">https://doi.org/10.1201/9780429492259</w:t>
        </w:r>
      </w:hyperlink>
    </w:p>
    <w:bookmarkEnd w:id="204"/>
    <w:bookmarkStart w:id="206"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205">
        <w:r>
          <w:rPr>
            <w:rStyle w:val="Hyperlink"/>
          </w:rPr>
          <w:t xml:space="preserve">https://doi.org/10.1016/j.neubiorev.2017.07.003</w:t>
        </w:r>
      </w:hyperlink>
    </w:p>
    <w:bookmarkEnd w:id="206"/>
    <w:bookmarkStart w:id="208"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207">
        <w:r>
          <w:rPr>
            <w:rStyle w:val="Hyperlink"/>
          </w:rPr>
          <w:t xml:space="preserve">https://doi.org/10.1007/s10654-016-0179-x</w:t>
        </w:r>
      </w:hyperlink>
    </w:p>
    <w:bookmarkEnd w:id="208"/>
    <w:bookmarkStart w:id="210" w:name="ref-Wang2015"/>
    <w:p>
      <w:pPr>
        <w:pStyle w:val="BodyText"/>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209">
        <w:r>
          <w:rPr>
            <w:rStyle w:val="Hyperlink"/>
          </w:rPr>
          <w:t xml:space="preserve">https://doi.org/10.1007/s10654-015-0100-z</w:t>
        </w:r>
      </w:hyperlink>
    </w:p>
    <w:bookmarkEnd w:id="210"/>
    <w:bookmarkStart w:id="212"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211">
        <w:r>
          <w:rPr>
            <w:rStyle w:val="Hyperlink"/>
          </w:rPr>
          <w:t xml:space="preserve">https://doi.org/10.1016/j.cpr.2016.10.003</w:t>
        </w:r>
      </w:hyperlink>
    </w:p>
    <w:bookmarkEnd w:id="212"/>
    <w:bookmarkEnd w:id="213"/>
    <w:bookmarkEnd w:id="214"/>
    <w:bookmarkEnd w:id="215"/>
    <w:bookmarkStart w:id="226" w:name="sec-chapter3"/>
    <w:p>
      <w:pPr>
        <w:pStyle w:val="Heading1"/>
      </w:pPr>
      <w:r>
        <w:t xml:space="preserve">3. Lifestyle factors, ELS and adolescent psycho-physical health</w:t>
      </w:r>
    </w:p>
    <w:p>
      <w:pPr>
        <w:pStyle w:val="FirstParagraph"/>
      </w:pPr>
      <w:r>
        <w:t xml:space="preserve">Adapted from:</w:t>
      </w:r>
    </w:p>
    <w:p>
      <w:pPr>
        <w:pStyle w:val="BodyText"/>
      </w:pPr>
      <w:r>
        <w:t xml:space="preserve">The role of lifestyle factors in the association between early-life stress and adolescent psycho-physical health: Moderation analysis in two European birth cohorts</w:t>
      </w:r>
    </w:p>
    <w:p>
      <w:pPr>
        <w:pStyle w:val="BodyText"/>
      </w:pPr>
      <w:r>
        <w:rPr>
          <w:bCs/>
          <w:b/>
        </w:rPr>
        <w:t xml:space="preserve">Defina, S.</w:t>
      </w:r>
      <w:r>
        <w:t xml:space="preserve">, Woofenden, T., Baltramonaityte, V., Tiemeier, H., Fairchild, G., Felix, J. F., Cecil, C.A.M., &amp; Walton, E. (2024).</w:t>
      </w:r>
      <w:r>
        <w:t xml:space="preserve"> </w:t>
      </w:r>
      <w:r>
        <w:rPr>
          <w:iCs/>
          <w:i/>
        </w:rPr>
        <w:t xml:space="preserve">Preventive Medicine</w:t>
      </w:r>
      <w:r>
        <w:t xml:space="preserve">.</w:t>
      </w:r>
      <w:r>
        <w:t xml:space="preserve"> </w:t>
      </w:r>
      <w:hyperlink r:id="rId216">
        <w:r>
          <w:rPr>
            <w:rStyle w:val="Hyperlink"/>
          </w:rPr>
          <w:t xml:space="preserve">DOI</w:t>
        </w:r>
      </w:hyperlink>
    </w:p>
    <w:bookmarkStart w:id="217" w:name="abstact"/>
    <w:p>
      <w:pPr>
        <w:pStyle w:val="Heading2"/>
      </w:pPr>
      <w:r>
        <w:t xml:space="preserve">Abstact</w:t>
      </w:r>
    </w:p>
    <w:bookmarkEnd w:id="217"/>
    <w:bookmarkStart w:id="218" w:name="introduction-1"/>
    <w:p>
      <w:pPr>
        <w:pStyle w:val="Heading2"/>
      </w:pPr>
      <w:r>
        <w:t xml:space="preserve">3.1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18"/>
    <w:bookmarkStart w:id="219" w:name="methods-1"/>
    <w:p>
      <w:pPr>
        <w:pStyle w:val="Heading2"/>
      </w:pPr>
      <w:r>
        <w:t xml:space="preserve">3.2 Methods</w:t>
      </w:r>
    </w:p>
    <w:bookmarkEnd w:id="219"/>
    <w:bookmarkStart w:id="220" w:name="discussion-1"/>
    <w:p>
      <w:pPr>
        <w:pStyle w:val="Heading2"/>
      </w:pPr>
      <w:r>
        <w:t xml:space="preserve">3.3 Discussion</w:t>
      </w:r>
    </w:p>
    <w:bookmarkEnd w:id="220"/>
    <w:bookmarkStart w:id="221" w:name="references-2"/>
    <w:p>
      <w:pPr>
        <w:pStyle w:val="Heading2"/>
      </w:pPr>
      <w:r>
        <w:t xml:space="preserve">References</w:t>
      </w:r>
    </w:p>
    <w:bookmarkEnd w:id="221"/>
    <w:bookmarkStart w:id="225" w:name="bibliography--3"/>
    <w:p>
      <w:pPr>
        <w:pStyle w:val="Heading2"/>
      </w:pPr>
      <w:r>
        <w:t xml:space="preserve">References</w:t>
      </w:r>
    </w:p>
    <w:bookmarkStart w:id="224" w:name="refs--3"/>
    <w:bookmarkStart w:id="222"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7">
        <w:r>
          <w:rPr>
            <w:rStyle w:val="Hyperlink"/>
          </w:rPr>
          <w:t xml:space="preserve">https://doi.org/10.1093/ije/dys064</w:t>
        </w:r>
      </w:hyperlink>
    </w:p>
    <w:bookmarkEnd w:id="222"/>
    <w:bookmarkStart w:id="223"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6">
        <w:r>
          <w:rPr>
            <w:rStyle w:val="Hyperlink"/>
          </w:rPr>
          <w:t xml:space="preserve">https://doi.org/10.1093/ije/dys066</w:t>
        </w:r>
      </w:hyperlink>
    </w:p>
    <w:bookmarkEnd w:id="223"/>
    <w:bookmarkEnd w:id="224"/>
    <w:bookmarkEnd w:id="225"/>
    <w:bookmarkEnd w:id="226"/>
    <w:bookmarkStart w:id="236" w:name="sec-chapter4"/>
    <w:p>
      <w:pPr>
        <w:pStyle w:val="Heading1"/>
      </w:pPr>
      <w:r>
        <w:t xml:space="preserve">4. ELS and intracortical myelination</w:t>
      </w:r>
    </w:p>
    <w:p>
      <w:pPr>
        <w:pStyle w:val="FirstParagraph"/>
      </w:pPr>
      <w:r>
        <w:t xml:space="preserve">Adapted from:</w:t>
      </w:r>
    </w:p>
    <w:p>
      <w:pPr>
        <w:pStyle w:val="BodyText"/>
      </w:pPr>
      <w:r>
        <w:t xml:space="preserve">Early-life stress exposure and intracortical myelination in childhood: a population-based neuroimaging study</w:t>
      </w:r>
    </w:p>
    <w:p>
      <w:pPr>
        <w:pStyle w:val="BodyText"/>
      </w:pPr>
      <w:r>
        <w:rPr>
          <w:bCs/>
          <w:b/>
        </w:rPr>
        <w:t xml:space="preserve">Defina, S.</w:t>
      </w:r>
      <w:r>
        <w:t xml:space="preserve">, Manzoni, D., Tiemeier, H., Brouwer, R.M., Cecil, C.A.M., &amp; Muetzel R.L. (</w:t>
      </w:r>
      <w:r>
        <w:rPr>
          <w:iCs/>
          <w:i/>
        </w:rPr>
        <w:t xml:space="preserve">in preparation</w:t>
      </w:r>
      <w:r>
        <w:t xml:space="preserve">)</w:t>
      </w:r>
    </w:p>
    <w:bookmarkStart w:id="227" w:name="abstact-1"/>
    <w:p>
      <w:pPr>
        <w:pStyle w:val="Heading2"/>
      </w:pPr>
      <w:r>
        <w:t xml:space="preserve">Abstact</w:t>
      </w:r>
    </w:p>
    <w:bookmarkEnd w:id="227"/>
    <w:bookmarkStart w:id="228" w:name="introduction-2"/>
    <w:p>
      <w:pPr>
        <w:pStyle w:val="Heading2"/>
      </w:pPr>
      <w:r>
        <w:t xml:space="preserve">4.1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28"/>
    <w:bookmarkStart w:id="229" w:name="methods-2"/>
    <w:p>
      <w:pPr>
        <w:pStyle w:val="Heading2"/>
      </w:pPr>
      <w:r>
        <w:t xml:space="preserve">4.2 Methods</w:t>
      </w:r>
    </w:p>
    <w:bookmarkEnd w:id="229"/>
    <w:bookmarkStart w:id="230" w:name="discussion-2"/>
    <w:p>
      <w:pPr>
        <w:pStyle w:val="Heading2"/>
      </w:pPr>
      <w:r>
        <w:t xml:space="preserve">4.3 Discussion</w:t>
      </w:r>
    </w:p>
    <w:bookmarkEnd w:id="230"/>
    <w:bookmarkStart w:id="231" w:name="references-3"/>
    <w:p>
      <w:pPr>
        <w:pStyle w:val="Heading2"/>
      </w:pPr>
      <w:r>
        <w:t xml:space="preserve">References</w:t>
      </w:r>
    </w:p>
    <w:bookmarkEnd w:id="231"/>
    <w:bookmarkStart w:id="235" w:name="bibliography--4"/>
    <w:p>
      <w:pPr>
        <w:pStyle w:val="Heading2"/>
      </w:pPr>
      <w:r>
        <w:t xml:space="preserve">References</w:t>
      </w:r>
    </w:p>
    <w:bookmarkStart w:id="234" w:name="refs--4"/>
    <w:bookmarkStart w:id="232"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7">
        <w:r>
          <w:rPr>
            <w:rStyle w:val="Hyperlink"/>
          </w:rPr>
          <w:t xml:space="preserve">https://doi.org/10.1093/ije/dys064</w:t>
        </w:r>
      </w:hyperlink>
    </w:p>
    <w:bookmarkEnd w:id="232"/>
    <w:bookmarkStart w:id="233"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6">
        <w:r>
          <w:rPr>
            <w:rStyle w:val="Hyperlink"/>
          </w:rPr>
          <w:t xml:space="preserve">https://doi.org/10.1093/ije/dys066</w:t>
        </w:r>
      </w:hyperlink>
    </w:p>
    <w:bookmarkEnd w:id="233"/>
    <w:bookmarkEnd w:id="234"/>
    <w:bookmarkEnd w:id="235"/>
    <w:bookmarkEnd w:id="236"/>
    <w:bookmarkStart w:id="246" w:name="sec-chapter5"/>
    <w:p>
      <w:pPr>
        <w:pStyle w:val="Heading1"/>
      </w:pPr>
      <w:r>
        <w:t xml:space="preserve">5. ELS and cardiac morphology</w:t>
      </w:r>
    </w:p>
    <w:p>
      <w:pPr>
        <w:pStyle w:val="FirstParagraph"/>
      </w:pPr>
      <w:r>
        <w:t xml:space="preserve">Adapted from:</w:t>
      </w:r>
    </w:p>
    <w:p>
      <w:pPr>
        <w:pStyle w:val="BodyText"/>
      </w:pPr>
      <w:r>
        <w:t xml:space="preserve">Early-life stress exposure and heart morphology in childhood: a prospective population-based study</w:t>
      </w:r>
    </w:p>
    <w:p>
      <w:pPr>
        <w:pStyle w:val="BodyText"/>
      </w:pPr>
      <w:r>
        <w:rPr>
          <w:bCs/>
          <w:b/>
        </w:rPr>
        <w:t xml:space="preserve">Defina, S.</w:t>
      </w:r>
      <w:r>
        <w:t xml:space="preserve">, Kamphuis, A., Gaillard, R., &amp; Felix, J. F. (</w:t>
      </w:r>
      <w:r>
        <w:rPr>
          <w:iCs/>
          <w:i/>
        </w:rPr>
        <w:t xml:space="preserve">in preparation</w:t>
      </w:r>
      <w:r>
        <w:t xml:space="preserve">)</w:t>
      </w:r>
    </w:p>
    <w:bookmarkStart w:id="237" w:name="abstact-2"/>
    <w:p>
      <w:pPr>
        <w:pStyle w:val="Heading2"/>
      </w:pPr>
      <w:r>
        <w:t xml:space="preserve">Abstact</w:t>
      </w:r>
    </w:p>
    <w:bookmarkEnd w:id="237"/>
    <w:bookmarkStart w:id="238"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38"/>
    <w:bookmarkStart w:id="239" w:name="methods-3"/>
    <w:p>
      <w:pPr>
        <w:pStyle w:val="Heading2"/>
      </w:pPr>
      <w:r>
        <w:t xml:space="preserve">5.2 Methods</w:t>
      </w:r>
    </w:p>
    <w:bookmarkEnd w:id="239"/>
    <w:bookmarkStart w:id="240" w:name="discussion-3"/>
    <w:p>
      <w:pPr>
        <w:pStyle w:val="Heading2"/>
      </w:pPr>
      <w:r>
        <w:t xml:space="preserve">5.3 Discussion</w:t>
      </w:r>
    </w:p>
    <w:bookmarkEnd w:id="240"/>
    <w:bookmarkStart w:id="241" w:name="references-4"/>
    <w:p>
      <w:pPr>
        <w:pStyle w:val="Heading2"/>
      </w:pPr>
      <w:r>
        <w:t xml:space="preserve">References</w:t>
      </w:r>
    </w:p>
    <w:bookmarkEnd w:id="241"/>
    <w:bookmarkStart w:id="245" w:name="bibliography--5"/>
    <w:p>
      <w:pPr>
        <w:pStyle w:val="Heading2"/>
      </w:pPr>
      <w:r>
        <w:t xml:space="preserve">References</w:t>
      </w:r>
    </w:p>
    <w:bookmarkStart w:id="244" w:name="refs--5"/>
    <w:bookmarkStart w:id="242"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7">
        <w:r>
          <w:rPr>
            <w:rStyle w:val="Hyperlink"/>
          </w:rPr>
          <w:t xml:space="preserve">https://doi.org/10.1093/ije/dys064</w:t>
        </w:r>
      </w:hyperlink>
    </w:p>
    <w:bookmarkEnd w:id="242"/>
    <w:bookmarkStart w:id="243"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6">
        <w:r>
          <w:rPr>
            <w:rStyle w:val="Hyperlink"/>
          </w:rPr>
          <w:t xml:space="preserve">https://doi.org/10.1093/ije/dys066</w:t>
        </w:r>
      </w:hyperlink>
    </w:p>
    <w:bookmarkEnd w:id="243"/>
    <w:bookmarkEnd w:id="244"/>
    <w:bookmarkEnd w:id="245"/>
    <w:bookmarkEnd w:id="246"/>
    <w:bookmarkStart w:id="256" w:name="sec-chapter6"/>
    <w:p>
      <w:pPr>
        <w:pStyle w:val="Heading1"/>
      </w:pPr>
      <w:r>
        <w:t xml:space="preserve">6. Longitudinal psycho-physical co-development</w:t>
      </w:r>
    </w:p>
    <w:p>
      <w:pPr>
        <w:pStyle w:val="FirstParagraph"/>
      </w:pPr>
      <w:r>
        <w:t xml:space="preserve">Adapted from:</w:t>
      </w:r>
    </w:p>
    <w:p>
      <w:pPr>
        <w:pStyle w:val="BodyText"/>
      </w:pPr>
      <w:r>
        <w:t xml:space="preserve">Longitudinal co-development of depressive symptoms and cardio-metabolic risk factors from childhood to young adulthood</w:t>
      </w:r>
    </w:p>
    <w:p>
      <w:pPr>
        <w:pStyle w:val="BodyText"/>
      </w:pPr>
      <w:r>
        <w:t xml:space="preserve">Defina, S., Cecil, C.A.M., Felix, J.F., Walton, E., &amp; Tiemeier, H. (</w:t>
      </w:r>
      <w:r>
        <w:rPr>
          <w:iCs/>
          <w:i/>
        </w:rPr>
        <w:t xml:space="preserve">under revision</w:t>
      </w:r>
      <w:r>
        <w:t xml:space="preserve">)</w:t>
      </w:r>
    </w:p>
    <w:bookmarkStart w:id="247" w:name="abstact-3"/>
    <w:p>
      <w:pPr>
        <w:pStyle w:val="Heading2"/>
      </w:pPr>
      <w:r>
        <w:t xml:space="preserve">Abstact</w:t>
      </w:r>
    </w:p>
    <w:bookmarkEnd w:id="247"/>
    <w:bookmarkStart w:id="248"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48"/>
    <w:bookmarkStart w:id="249" w:name="methods-4"/>
    <w:p>
      <w:pPr>
        <w:pStyle w:val="Heading2"/>
      </w:pPr>
      <w:r>
        <w:t xml:space="preserve">6.2 Methods</w:t>
      </w:r>
    </w:p>
    <w:bookmarkEnd w:id="249"/>
    <w:bookmarkStart w:id="250" w:name="discussion-4"/>
    <w:p>
      <w:pPr>
        <w:pStyle w:val="Heading2"/>
      </w:pPr>
      <w:r>
        <w:t xml:space="preserve">6.3 Discussion</w:t>
      </w:r>
    </w:p>
    <w:bookmarkEnd w:id="250"/>
    <w:bookmarkStart w:id="251" w:name="references-5"/>
    <w:p>
      <w:pPr>
        <w:pStyle w:val="Heading2"/>
      </w:pPr>
      <w:r>
        <w:t xml:space="preserve">References</w:t>
      </w:r>
    </w:p>
    <w:bookmarkEnd w:id="251"/>
    <w:bookmarkStart w:id="255" w:name="bibliography--6"/>
    <w:p>
      <w:pPr>
        <w:pStyle w:val="Heading2"/>
      </w:pPr>
      <w:r>
        <w:t xml:space="preserve">References</w:t>
      </w:r>
    </w:p>
    <w:bookmarkStart w:id="254" w:name="refs--6"/>
    <w:bookmarkStart w:id="252"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7">
        <w:r>
          <w:rPr>
            <w:rStyle w:val="Hyperlink"/>
          </w:rPr>
          <w:t xml:space="preserve">https://doi.org/10.1093/ije/dys064</w:t>
        </w:r>
      </w:hyperlink>
    </w:p>
    <w:bookmarkEnd w:id="252"/>
    <w:bookmarkStart w:id="253"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6">
        <w:r>
          <w:rPr>
            <w:rStyle w:val="Hyperlink"/>
          </w:rPr>
          <w:t xml:space="preserve">https://doi.org/10.1093/ije/dys066</w:t>
        </w:r>
      </w:hyperlink>
    </w:p>
    <w:bookmarkEnd w:id="253"/>
    <w:bookmarkEnd w:id="254"/>
    <w:bookmarkEnd w:id="255"/>
    <w:bookmarkEnd w:id="256"/>
    <w:bookmarkStart w:id="266" w:name="sec-chapter7"/>
    <w:p>
      <w:pPr>
        <w:pStyle w:val="Heading1"/>
      </w:pPr>
      <w:r>
        <w:t xml:space="preserve">7. Arterial health and brain development</w:t>
      </w:r>
    </w:p>
    <w:p>
      <w:pPr>
        <w:pStyle w:val="FirstParagraph"/>
      </w:pPr>
      <w:r>
        <w:t xml:space="preserve">Adapted from:</w:t>
      </w:r>
    </w:p>
    <w:p>
      <w:pPr>
        <w:pStyle w:val="BodyText"/>
      </w:pPr>
      <w:r>
        <w:t xml:space="preserve">Lkjbdsjcdajkh</w:t>
      </w:r>
    </w:p>
    <w:p>
      <w:pPr>
        <w:pStyle w:val="BodyText"/>
      </w:pPr>
      <w:r>
        <w:t xml:space="preserve">Defina, S., Cecil, C.A.M., Felix, J.F., Walton, E., &amp; Tiemeier, H. (</w:t>
      </w:r>
      <w:r>
        <w:rPr>
          <w:iCs/>
          <w:i/>
        </w:rPr>
        <w:t xml:space="preserve">under revision</w:t>
      </w:r>
      <w:r>
        <w:t xml:space="preserve">)</w:t>
      </w:r>
    </w:p>
    <w:bookmarkStart w:id="257" w:name="abstact-4"/>
    <w:p>
      <w:pPr>
        <w:pStyle w:val="Heading2"/>
      </w:pPr>
      <w:r>
        <w:t xml:space="preserve">Abstact</w:t>
      </w:r>
    </w:p>
    <w:bookmarkEnd w:id="257"/>
    <w:bookmarkStart w:id="258" w:name="introduction-5"/>
    <w:p>
      <w:pPr>
        <w:pStyle w:val="Heading2"/>
      </w:pPr>
      <w:r>
        <w:t xml:space="preserve">7.1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58"/>
    <w:bookmarkStart w:id="259" w:name="methods-5"/>
    <w:p>
      <w:pPr>
        <w:pStyle w:val="Heading2"/>
      </w:pPr>
      <w:r>
        <w:t xml:space="preserve">7.2 Methods</w:t>
      </w:r>
    </w:p>
    <w:bookmarkEnd w:id="259"/>
    <w:bookmarkStart w:id="260" w:name="discussion-5"/>
    <w:p>
      <w:pPr>
        <w:pStyle w:val="Heading2"/>
      </w:pPr>
      <w:r>
        <w:t xml:space="preserve">7.3 Discussion</w:t>
      </w:r>
    </w:p>
    <w:bookmarkEnd w:id="260"/>
    <w:bookmarkStart w:id="261" w:name="references-6"/>
    <w:p>
      <w:pPr>
        <w:pStyle w:val="Heading2"/>
      </w:pPr>
      <w:r>
        <w:t xml:space="preserve">References</w:t>
      </w:r>
    </w:p>
    <w:bookmarkEnd w:id="261"/>
    <w:bookmarkStart w:id="265" w:name="bibliography--7"/>
    <w:p>
      <w:pPr>
        <w:pStyle w:val="Heading2"/>
      </w:pPr>
      <w:r>
        <w:t xml:space="preserve">References</w:t>
      </w:r>
    </w:p>
    <w:bookmarkStart w:id="264" w:name="refs--7"/>
    <w:bookmarkStart w:id="262"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7">
        <w:r>
          <w:rPr>
            <w:rStyle w:val="Hyperlink"/>
          </w:rPr>
          <w:t xml:space="preserve">https://doi.org/10.1093/ije/dys064</w:t>
        </w:r>
      </w:hyperlink>
    </w:p>
    <w:bookmarkEnd w:id="262"/>
    <w:bookmarkStart w:id="263"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6">
        <w:r>
          <w:rPr>
            <w:rStyle w:val="Hyperlink"/>
          </w:rPr>
          <w:t xml:space="preserve">https://doi.org/10.1093/ije/dys066</w:t>
        </w:r>
      </w:hyperlink>
    </w:p>
    <w:bookmarkEnd w:id="263"/>
    <w:bookmarkEnd w:id="264"/>
    <w:bookmarkEnd w:id="265"/>
    <w:bookmarkEnd w:id="266"/>
    <w:bookmarkStart w:id="276" w:name="general-discussion"/>
    <w:p>
      <w:pPr>
        <w:pStyle w:val="Heading1"/>
      </w:pPr>
      <w:r>
        <w:t xml:space="preserve">8. General discussion</w:t>
      </w:r>
    </w:p>
    <w:p>
      <w:pPr>
        <w:pStyle w:val="FirstParagraph"/>
      </w:pPr>
      <w:r>
        <w:t xml:space="preserve">In this dissertation …</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seeks to provide a clearer understanding of how ELS impacts psycho-physical health during this formative stage of life.</w:t>
      </w:r>
    </w:p>
    <w:p>
      <w:pPr>
        <w:pStyle w:val="BodyText"/>
      </w:pPr>
      <w:r>
        <w:t xml:space="preserve">I started this book with a confession: I hated writing this. Since you meade it this far (or anyway happened to open this doomed chapter), you won the dubious reward of knowing why. Here is a collection of thing I would have done differently, followed by a few things I wish we all did differently.</w:t>
      </w:r>
    </w:p>
    <w:bookmarkStart w:id="269" w:name="modelling-els"/>
    <w:p>
      <w:pPr>
        <w:pStyle w:val="Heading2"/>
      </w:pPr>
      <w:r>
        <w:t xml:space="preserve">8.1 Modelling ELS</w:t>
      </w:r>
    </w:p>
    <w:bookmarkStart w:id="267"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267"/>
    <w:bookmarkStart w:id="268" w:name="missing-piece-resilience"/>
    <w:p>
      <w:pPr>
        <w:pStyle w:val="Heading3"/>
      </w:pPr>
      <w:r>
        <w:t xml:space="preserve">Missing piece: resilience</w:t>
      </w:r>
    </w:p>
    <w:bookmarkEnd w:id="268"/>
    <w:bookmarkEnd w:id="269"/>
    <w:bookmarkStart w:id="270"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270"/>
    <w:bookmarkStart w:id="273" w:name="modelling-comorbidity"/>
    <w:p>
      <w:pPr>
        <w:pStyle w:val="Heading2"/>
      </w:pPr>
      <w:r>
        <w:t xml:space="preserve">8.3 Modelling comorbidity</w:t>
      </w:r>
    </w:p>
    <w:bookmarkStart w:id="271" w:name="old-data-old-insights"/>
    <w:p>
      <w:pPr>
        <w:pStyle w:val="Heading3"/>
      </w:pPr>
      <w:r>
        <w:t xml:space="preserve">old data, old insights</w:t>
      </w:r>
    </w:p>
    <w:bookmarkEnd w:id="271"/>
    <w:bookmarkStart w:id="272" w:name="alternative-modelling-methods-1"/>
    <w:p>
      <w:pPr>
        <w:pStyle w:val="Heading3"/>
      </w:pPr>
      <w:r>
        <w:t xml:space="preserve">Alternative modelling methods</w:t>
      </w:r>
    </w:p>
    <w:p>
      <w:pPr>
        <w:pStyle w:val="FirstParagraph"/>
      </w:pPr>
      <w:r>
        <w:t xml:space="preserve">network</w:t>
      </w:r>
    </w:p>
    <w:bookmarkEnd w:id="272"/>
    <w:bookmarkEnd w:id="273"/>
    <w:bookmarkStart w:id="274" w:name="science-is-dead-and-we-killed-it"/>
    <w:p>
      <w:pPr>
        <w:pStyle w:val="Heading2"/>
      </w:pPr>
      <w:r>
        <w:t xml:space="preserve">8.4 Science is dead, and we killed it</w:t>
      </w:r>
    </w:p>
    <w:p>
      <w:pPr>
        <w:pStyle w:val="FirstParagraph"/>
      </w:pP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p>
    <w:p>
      <w:pPr>
        <w:pStyle w:val="BodyText"/>
      </w:pPr>
      <w:r>
        <w:t xml:space="preserve">journals should not gatekeep knowledge</w:t>
      </w:r>
    </w:p>
    <w:p>
      <w:pPr>
        <w:pStyle w:val="BodyText"/>
      </w:pPr>
      <w:r>
        <w:t xml:space="preserve">code is the scientific product</w:t>
      </w:r>
    </w:p>
    <w:bookmarkEnd w:id="274"/>
    <w:bookmarkStart w:id="275" w:name="references-7"/>
    <w:p>
      <w:pPr>
        <w:pStyle w:val="Heading2"/>
      </w:pPr>
      <w:r>
        <w:t xml:space="preserve">References</w:t>
      </w:r>
    </w:p>
    <w:bookmarkEnd w:id="275"/>
    <w:bookmarkEnd w:id="276"/>
    <w:bookmarkStart w:id="347" w:name="bibliography"/>
    <w:p>
      <w:pPr>
        <w:pStyle w:val="Heading1"/>
      </w:pPr>
      <w:r>
        <w:t xml:space="preserve">References</w:t>
      </w:r>
    </w:p>
    <w:bookmarkStart w:id="346" w:name="refs"/>
    <w:bookmarkStart w:id="277" w:name="ref-Achenbach1999"/>
    <w:p>
      <w:pPr>
        <w:pStyle w:val="Bibliography"/>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277"/>
    <w:bookmarkStart w:id="278" w:name="ref-Alders2001"/>
    <w:p>
      <w:pPr>
        <w:pStyle w:val="Bibliography"/>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278"/>
    <w:bookmarkStart w:id="279" w:name="ref-Anwar2018"/>
    <w:p>
      <w:pPr>
        <w:pStyle w:val="Bibliography"/>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279"/>
    <w:bookmarkStart w:id="280" w:name="ref-Barker1998"/>
    <w:p>
      <w:pPr>
        <w:pStyle w:val="Bibliography"/>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280"/>
    <w:bookmarkStart w:id="281"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45">
        <w:r>
          <w:rPr>
            <w:rStyle w:val="Hyperlink"/>
          </w:rPr>
          <w:t xml:space="preserve">https://doi.org/10.1016/S0140-6736(12)60240-2</w:t>
        </w:r>
      </w:hyperlink>
    </w:p>
    <w:bookmarkEnd w:id="281"/>
    <w:bookmarkStart w:id="282"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Cs/>
          <w:i/>
        </w:rPr>
        <w:t xml:space="preserve">Psychiatry Investig</w:t>
      </w:r>
      <w:r>
        <w:t xml:space="preserve">,</w:t>
      </w:r>
      <w:r>
        <w:t xml:space="preserve"> </w:t>
      </w:r>
      <w:r>
        <w:rPr>
          <w:iCs/>
          <w:i/>
        </w:rPr>
        <w:t xml:space="preserve">17</w:t>
      </w:r>
      <w:r>
        <w:t xml:space="preserve">(8), 715–724.</w:t>
      </w:r>
      <w:r>
        <w:t xml:space="preserve"> </w:t>
      </w:r>
      <w:hyperlink r:id="rId34">
        <w:r>
          <w:rPr>
            <w:rStyle w:val="Hyperlink"/>
          </w:rPr>
          <w:t xml:space="preserve">https://doi.org/10.30773/pi.2020.0099</w:t>
        </w:r>
      </w:hyperlink>
    </w:p>
    <w:bookmarkEnd w:id="282"/>
    <w:bookmarkStart w:id="283"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7">
        <w:r>
          <w:rPr>
            <w:rStyle w:val="Hyperlink"/>
          </w:rPr>
          <w:t xml:space="preserve">https://doi.org/10.1093/ije/dys064</w:t>
        </w:r>
      </w:hyperlink>
    </w:p>
    <w:bookmarkEnd w:id="283"/>
    <w:bookmarkStart w:id="284"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7">
        <w:r>
          <w:rPr>
            <w:rStyle w:val="Hyperlink"/>
          </w:rPr>
          <w:t xml:space="preserve">https://doi.org/10.1093/ije/dys064</w:t>
        </w:r>
      </w:hyperlink>
    </w:p>
    <w:bookmarkEnd w:id="284"/>
    <w:bookmarkStart w:id="285"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49">
        <w:r>
          <w:rPr>
            <w:rStyle w:val="Hyperlink"/>
          </w:rPr>
          <w:t xml:space="preserve">https://doi.org/10.1038/s41366-019-0423-z</w:t>
        </w:r>
      </w:hyperlink>
    </w:p>
    <w:bookmarkEnd w:id="285"/>
    <w:bookmarkStart w:id="286"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51">
        <w:r>
          <w:rPr>
            <w:rStyle w:val="Hyperlink"/>
          </w:rPr>
          <w:t xml:space="preserve">https://doi.org/10.1038/mp.2014.95</w:t>
        </w:r>
      </w:hyperlink>
    </w:p>
    <w:bookmarkEnd w:id="286"/>
    <w:bookmarkStart w:id="287" w:name="ref-Cecil2017"/>
    <w:p>
      <w:pPr>
        <w:pStyle w:val="Bibliography"/>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53">
        <w:r>
          <w:rPr>
            <w:rStyle w:val="Hyperlink"/>
          </w:rPr>
          <w:t xml:space="preserve">https://doi.org/10.1016/j.chiabu.2016.11.024</w:t>
        </w:r>
      </w:hyperlink>
    </w:p>
    <w:bookmarkEnd w:id="287"/>
    <w:bookmarkStart w:id="288"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55">
        <w:r>
          <w:rPr>
            <w:rStyle w:val="Hyperlink"/>
          </w:rPr>
          <w:t xml:space="preserve">https://doi.org/10.1017/S0033291721004311</w:t>
        </w:r>
      </w:hyperlink>
    </w:p>
    <w:bookmarkEnd w:id="288"/>
    <w:bookmarkStart w:id="289" w:name="ref-Danese2014"/>
    <w:p>
      <w:pPr>
        <w:pStyle w:val="Bibliography"/>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289"/>
    <w:bookmarkStart w:id="290"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Cs/>
          <w:i/>
        </w:rPr>
        <w:t xml:space="preserve">Psychological Medicine</w:t>
      </w:r>
      <w:r>
        <w:t xml:space="preserve">,</w:t>
      </w:r>
      <w:r>
        <w:t xml:space="preserve"> </w:t>
      </w:r>
      <w:r>
        <w:rPr>
          <w:iCs/>
          <w:i/>
        </w:rPr>
        <w:t xml:space="preserve">52</w:t>
      </w:r>
      <w:r>
        <w:t xml:space="preserve">(14), 3007–3017.</w:t>
      </w:r>
      <w:r>
        <w:t xml:space="preserve"> </w:t>
      </w:r>
      <w:hyperlink r:id="rId38">
        <w:r>
          <w:rPr>
            <w:rStyle w:val="Hyperlink"/>
          </w:rPr>
          <w:t xml:space="preserve">https://doi.org/10.1017/S003329172000505X</w:t>
        </w:r>
      </w:hyperlink>
    </w:p>
    <w:bookmarkEnd w:id="290"/>
    <w:bookmarkStart w:id="291"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58">
        <w:r>
          <w:rPr>
            <w:rStyle w:val="Hyperlink"/>
          </w:rPr>
          <w:t xml:space="preserve">https://doi.org/10.1016/j.jclinepi.2007.11.008</w:t>
        </w:r>
      </w:hyperlink>
    </w:p>
    <w:bookmarkEnd w:id="291"/>
    <w:bookmarkStart w:id="292"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60">
        <w:r>
          <w:rPr>
            <w:rStyle w:val="Hyperlink"/>
          </w:rPr>
          <w:t xml:space="preserve">https://doi.org/10.1002/oby.21797</w:t>
        </w:r>
      </w:hyperlink>
    </w:p>
    <w:bookmarkEnd w:id="292"/>
    <w:bookmarkStart w:id="293" w:name="ref-Engel1977"/>
    <w:p>
      <w:pPr>
        <w:pStyle w:val="Bibliography"/>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40">
        <w:r>
          <w:rPr>
            <w:rStyle w:val="Hyperlink"/>
          </w:rPr>
          <w:t xml:space="preserve">https://doi.org/10.1126/science.847460</w:t>
        </w:r>
      </w:hyperlink>
    </w:p>
    <w:bookmarkEnd w:id="293"/>
    <w:bookmarkStart w:id="294" w:name="ref-Entringer2013"/>
    <w:p>
      <w:pPr>
        <w:pStyle w:val="Bibliography"/>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62">
        <w:r>
          <w:rPr>
            <w:rStyle w:val="Hyperlink"/>
          </w:rPr>
          <w:t xml:space="preserve">https://doi.org/10.1097/MCO.0b013e32835e8d80</w:t>
        </w:r>
      </w:hyperlink>
    </w:p>
    <w:bookmarkEnd w:id="294"/>
    <w:bookmarkStart w:id="295"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64">
        <w:r>
          <w:rPr>
            <w:rStyle w:val="Hyperlink"/>
          </w:rPr>
          <w:t xml:space="preserve">https://doi.org/10.1155/2012/632548</w:t>
        </w:r>
      </w:hyperlink>
    </w:p>
    <w:bookmarkEnd w:id="295"/>
    <w:bookmarkStart w:id="296" w:name="ref-Evans2013"/>
    <w:p>
      <w:pPr>
        <w:pStyle w:val="Bibliography"/>
      </w:pPr>
      <w:r>
        <w:t xml:space="preserve">Evans, G. W., Li, D., &amp; Whipple, S. S. (2013). Cumulative risk and child development [Journal Article].</w:t>
      </w:r>
      <w:r>
        <w:t xml:space="preserve"> </w:t>
      </w:r>
      <w:r>
        <w:rPr>
          <w:iCs/>
          <w:i/>
        </w:rPr>
        <w:t xml:space="preserve">Psychological Bulletin</w:t>
      </w:r>
      <w:r>
        <w:t xml:space="preserve">,</w:t>
      </w:r>
      <w:r>
        <w:t xml:space="preserve"> </w:t>
      </w:r>
      <w:r>
        <w:rPr>
          <w:iCs/>
          <w:i/>
        </w:rPr>
        <w:t xml:space="preserve">139</w:t>
      </w:r>
      <w:r>
        <w:t xml:space="preserve">(6), 1342–1396.</w:t>
      </w:r>
      <w:r>
        <w:t xml:space="preserve"> </w:t>
      </w:r>
      <w:hyperlink r:id="rId42">
        <w:r>
          <w:rPr>
            <w:rStyle w:val="Hyperlink"/>
          </w:rPr>
          <w:t xml:space="preserve">https://doi.org/10.1037/a0031808</w:t>
        </w:r>
      </w:hyperlink>
    </w:p>
    <w:bookmarkEnd w:id="296"/>
    <w:bookmarkStart w:id="297"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4">
        <w:r>
          <w:rPr>
            <w:rStyle w:val="Hyperlink"/>
          </w:rPr>
          <w:t xml:space="preserve">https://doi.org/10.1016/S0749-3797(98)00017-8</w:t>
        </w:r>
      </w:hyperlink>
    </w:p>
    <w:bookmarkEnd w:id="297"/>
    <w:bookmarkStart w:id="298"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6">
        <w:r>
          <w:rPr>
            <w:rStyle w:val="Hyperlink"/>
          </w:rPr>
          <w:t xml:space="preserve">https://doi.org/10.1093/ije/dys066</w:t>
        </w:r>
      </w:hyperlink>
    </w:p>
    <w:bookmarkEnd w:id="298"/>
    <w:bookmarkStart w:id="299" w:name="ref-Gluckman2008"/>
    <w:p>
      <w:pPr>
        <w:pStyle w:val="Bibliography"/>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299"/>
    <w:bookmarkStart w:id="300"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300"/>
    <w:bookmarkStart w:id="301" w:name="ref-Goodman1999"/>
    <w:p>
      <w:pPr>
        <w:pStyle w:val="Bibliography"/>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70">
        <w:r>
          <w:rPr>
            <w:rStyle w:val="Hyperlink"/>
          </w:rPr>
          <w:t xml:space="preserve">https://doi.org/10.1023/A:1022658222914</w:t>
        </w:r>
      </w:hyperlink>
    </w:p>
    <w:bookmarkEnd w:id="301"/>
    <w:bookmarkStart w:id="302"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Cs/>
          <w:i/>
        </w:rPr>
        <w:t xml:space="preserve">Brazilian Journal of Psychiatry</w:t>
      </w:r>
      <w:r>
        <w:t xml:space="preserve">,</w:t>
      </w:r>
      <w:r>
        <w:t xml:space="preserve"> </w:t>
      </w:r>
      <w:r>
        <w:rPr>
          <w:iCs/>
          <w:i/>
        </w:rPr>
        <w:t xml:space="preserve">42</w:t>
      </w:r>
      <w:r>
        <w:t xml:space="preserve">, 657–672.</w:t>
      </w:r>
    </w:p>
    <w:bookmarkEnd w:id="302"/>
    <w:bookmarkStart w:id="303" w:name="ref-Hare2014"/>
    <w:p>
      <w:pPr>
        <w:pStyle w:val="Bibliography"/>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72">
        <w:r>
          <w:rPr>
            <w:rStyle w:val="Hyperlink"/>
          </w:rPr>
          <w:t xml:space="preserve">https://doi.org/10.1093/eurheartj/eht462</w:t>
        </w:r>
      </w:hyperlink>
    </w:p>
    <w:bookmarkEnd w:id="303"/>
    <w:bookmarkStart w:id="304" w:name="ref-Hartman2018"/>
    <w:p>
      <w:pPr>
        <w:pStyle w:val="Bibliography"/>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74">
        <w:r>
          <w:rPr>
            <w:rStyle w:val="Hyperlink"/>
          </w:rPr>
          <w:t xml:space="preserve">https://doi.org/10.1017/s0954579418000548</w:t>
        </w:r>
      </w:hyperlink>
    </w:p>
    <w:bookmarkEnd w:id="304"/>
    <w:bookmarkStart w:id="305" w:name="ref-Heim2020"/>
    <w:p>
      <w:pPr>
        <w:pStyle w:val="Bibliography"/>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305"/>
    <w:bookmarkStart w:id="306"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Cs/>
          <w:i/>
        </w:rPr>
        <w:t xml:space="preserve">The Lancet Public Health</w:t>
      </w:r>
      <w:r>
        <w:t xml:space="preserve">,</w:t>
      </w:r>
      <w:r>
        <w:t xml:space="preserve"> </w:t>
      </w:r>
      <w:r>
        <w:rPr>
          <w:iCs/>
          <w:i/>
        </w:rPr>
        <w:t xml:space="preserve">2</w:t>
      </w:r>
      <w:r>
        <w:t xml:space="preserve">(8), e356–e366.</w:t>
      </w:r>
      <w:r>
        <w:t xml:space="preserve"> </w:t>
      </w:r>
      <w:hyperlink r:id="rId49">
        <w:r>
          <w:rPr>
            <w:rStyle w:val="Hyperlink"/>
          </w:rPr>
          <w:t xml:space="preserve">https://doi.org/10.1016/S2468-2667(17)30118-4</w:t>
        </w:r>
      </w:hyperlink>
    </w:p>
    <w:bookmarkEnd w:id="306"/>
    <w:bookmarkStart w:id="307"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76">
        <w:r>
          <w:rPr>
            <w:rStyle w:val="Hyperlink"/>
          </w:rPr>
          <w:t xml:space="preserve">https://doi.org/10.1111/ijpo.12885</w:t>
        </w:r>
      </w:hyperlink>
    </w:p>
    <w:bookmarkEnd w:id="307"/>
    <w:bookmarkStart w:id="308"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51">
        <w:r>
          <w:rPr>
            <w:rStyle w:val="Hyperlink"/>
          </w:rPr>
          <w:t xml:space="preserve">https://doi.org/10.1007/s40653-021-00404-7</w:t>
        </w:r>
      </w:hyperlink>
    </w:p>
    <w:bookmarkEnd w:id="308"/>
    <w:bookmarkStart w:id="309" w:name="ref-Jakubowski2018"/>
    <w:p>
      <w:pPr>
        <w:pStyle w:val="Bibliography"/>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53">
        <w:r>
          <w:rPr>
            <w:rStyle w:val="Hyperlink"/>
          </w:rPr>
          <w:t xml:space="preserve">https://doi.org/10.1037/hea0000637</w:t>
        </w:r>
      </w:hyperlink>
    </w:p>
    <w:bookmarkEnd w:id="309"/>
    <w:bookmarkStart w:id="310"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78">
        <w:r>
          <w:rPr>
            <w:rStyle w:val="Hyperlink"/>
          </w:rPr>
          <w:t xml:space="preserve">https://doi.org/10.1017/s0954579416000730</w:t>
        </w:r>
      </w:hyperlink>
    </w:p>
    <w:bookmarkEnd w:id="310"/>
    <w:bookmarkStart w:id="311" w:name="ref-Keeley2021"/>
    <w:p>
      <w:pPr>
        <w:pStyle w:val="Bibliography"/>
      </w:pPr>
      <w:r>
        <w:t xml:space="preserve">Keeley, B. (2021). The state of the world’s children 2021: On my mind–promoting, protecting and caring for children’s mental health [Journal Article].</w:t>
      </w:r>
      <w:r>
        <w:t xml:space="preserve"> </w:t>
      </w:r>
      <w:r>
        <w:rPr>
          <w:iCs/>
          <w:i/>
        </w:rPr>
        <w:t xml:space="preserve">UNICEF</w:t>
      </w:r>
      <w:r>
        <w:t xml:space="preserve">.</w:t>
      </w:r>
    </w:p>
    <w:bookmarkEnd w:id="311"/>
    <w:bookmarkStart w:id="312"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80">
        <w:r>
          <w:rPr>
            <w:rStyle w:val="Hyperlink"/>
          </w:rPr>
          <w:t xml:space="preserve">https://doi.org/10.1007/s10654-016-0224-9</w:t>
        </w:r>
      </w:hyperlink>
    </w:p>
    <w:bookmarkEnd w:id="312"/>
    <w:bookmarkStart w:id="313"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56">
        <w:r>
          <w:rPr>
            <w:rStyle w:val="Hyperlink"/>
          </w:rPr>
          <w:t xml:space="preserve">https://doi.org/10.1016/j.jaac.2019.10.011</w:t>
        </w:r>
      </w:hyperlink>
    </w:p>
    <w:bookmarkEnd w:id="313"/>
    <w:bookmarkStart w:id="314"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8">
        <w:r>
          <w:rPr>
            <w:rStyle w:val="Hyperlink"/>
          </w:rPr>
          <w:t xml:space="preserve">https://doi.org/10.1017/s0033291715002743</w:t>
        </w:r>
      </w:hyperlink>
    </w:p>
    <w:bookmarkEnd w:id="314"/>
    <w:bookmarkStart w:id="315"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60">
        <w:r>
          <w:rPr>
            <w:rStyle w:val="Hyperlink"/>
          </w:rPr>
          <w:t xml:space="preserve">https://doi.org/10.1177/15248380221102558</w:t>
        </w:r>
      </w:hyperlink>
    </w:p>
    <w:bookmarkEnd w:id="315"/>
    <w:bookmarkStart w:id="316"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62">
        <w:r>
          <w:rPr>
            <w:rStyle w:val="Hyperlink"/>
          </w:rPr>
          <w:t xml:space="preserve">https://doi.org/10.1001/archgenpsychiatry.2010.2</w:t>
        </w:r>
      </w:hyperlink>
    </w:p>
    <w:bookmarkEnd w:id="316"/>
    <w:bookmarkStart w:id="317"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64">
        <w:r>
          <w:rPr>
            <w:rStyle w:val="Hyperlink"/>
          </w:rPr>
          <w:t xml:space="preserve">https://doi.org/10.1001/jamapediatrics.2024.4385</w:t>
        </w:r>
      </w:hyperlink>
    </w:p>
    <w:bookmarkEnd w:id="317"/>
    <w:bookmarkStart w:id="318"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66">
        <w:r>
          <w:rPr>
            <w:rStyle w:val="Hyperlink"/>
          </w:rPr>
          <w:t xml:space="preserve">https://doi.org/10.1016/j.ajp.2015.12.008</w:t>
        </w:r>
      </w:hyperlink>
    </w:p>
    <w:bookmarkEnd w:id="318"/>
    <w:bookmarkStart w:id="319" w:name="ref-Milaneschi2019"/>
    <w:p>
      <w:pPr>
        <w:pStyle w:val="Bibliography"/>
      </w:pPr>
      <w:r>
        <w:t xml:space="preserve">Milaneschi, Y., Simmons, W. K., Rossum, E. F. C. van, &amp; Penninx, B. W. J. H. (2019). Depression and obesity: Evidence of shared biological mechanisms [Journal Article].</w:t>
      </w:r>
      <w:r>
        <w:t xml:space="preserve"> </w:t>
      </w:r>
      <w:r>
        <w:rPr>
          <w:iCs/>
          <w:i/>
        </w:rPr>
        <w:t xml:space="preserve">Molecular Psychiatry</w:t>
      </w:r>
      <w:r>
        <w:t xml:space="preserve">,</w:t>
      </w:r>
      <w:r>
        <w:t xml:space="preserve"> </w:t>
      </w:r>
      <w:r>
        <w:rPr>
          <w:iCs/>
          <w:i/>
        </w:rPr>
        <w:t xml:space="preserve">24</w:t>
      </w:r>
      <w:r>
        <w:t xml:space="preserve">(1), 18–33.</w:t>
      </w:r>
      <w:r>
        <w:t xml:space="preserve"> </w:t>
      </w:r>
      <w:hyperlink r:id="rId68">
        <w:r>
          <w:rPr>
            <w:rStyle w:val="Hyperlink"/>
          </w:rPr>
          <w:t xml:space="preserve">https://doi.org/10.1038/s41380-018-0017-5</w:t>
        </w:r>
      </w:hyperlink>
    </w:p>
    <w:bookmarkEnd w:id="319"/>
    <w:bookmarkStart w:id="320" w:name="ref-Murphy2017"/>
    <w:p>
      <w:pPr>
        <w:pStyle w:val="Bibliography"/>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83">
        <w:r>
          <w:rPr>
            <w:rStyle w:val="Hyperlink"/>
          </w:rPr>
          <w:t xml:space="preserve">https://doi.org/10.1152/ajpregu.00185.2016</w:t>
        </w:r>
      </w:hyperlink>
    </w:p>
    <w:bookmarkEnd w:id="320"/>
    <w:bookmarkStart w:id="321" w:name="ref-NCD-RisC2017"/>
    <w:p>
      <w:pPr>
        <w:pStyle w:val="Bibliography"/>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Cs/>
          <w:i/>
        </w:rPr>
        <w:t xml:space="preserve">Lancet</w:t>
      </w:r>
      <w:r>
        <w:t xml:space="preserve">,</w:t>
      </w:r>
      <w:r>
        <w:t xml:space="preserve"> </w:t>
      </w:r>
      <w:r>
        <w:rPr>
          <w:iCs/>
          <w:i/>
        </w:rPr>
        <w:t xml:space="preserve">390</w:t>
      </w:r>
      <w:r>
        <w:t xml:space="preserve">(10113), 2627–2642.</w:t>
      </w:r>
      <w:r>
        <w:t xml:space="preserve"> </w:t>
      </w:r>
      <w:hyperlink r:id="rId70">
        <w:r>
          <w:rPr>
            <w:rStyle w:val="Hyperlink"/>
          </w:rPr>
          <w:t xml:space="preserve">https://doi.org/10.1016/s0140-6736(17)32129-3</w:t>
        </w:r>
      </w:hyperlink>
    </w:p>
    <w:bookmarkEnd w:id="321"/>
    <w:bookmarkStart w:id="322"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Cs/>
          <w:i/>
        </w:rPr>
        <w:t xml:space="preserve">Int J Epidemiol</w:t>
      </w:r>
      <w:r>
        <w:t xml:space="preserve">,</w:t>
      </w:r>
      <w:r>
        <w:t xml:space="preserve"> </w:t>
      </w:r>
      <w:r>
        <w:rPr>
          <w:iCs/>
          <w:i/>
        </w:rPr>
        <w:t xml:space="preserve">48</w:t>
      </w:r>
      <w:r>
        <w:t xml:space="preserve">(5), 1650–1664.</w:t>
      </w:r>
      <w:r>
        <w:t xml:space="preserve"> </w:t>
      </w:r>
      <w:hyperlink r:id="rId72">
        <w:r>
          <w:rPr>
            <w:rStyle w:val="Hyperlink"/>
          </w:rPr>
          <w:t xml:space="preserve">https://doi.org/10.1093/ije/dyz006</w:t>
        </w:r>
      </w:hyperlink>
    </w:p>
    <w:bookmarkEnd w:id="322"/>
    <w:bookmarkStart w:id="323"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323"/>
    <w:bookmarkStart w:id="324"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74">
        <w:r>
          <w:rPr>
            <w:rStyle w:val="Hyperlink"/>
          </w:rPr>
          <w:t xml:space="preserve">https://doi.org/10.1001/archpsyc.58.3.221</w:t>
        </w:r>
      </w:hyperlink>
    </w:p>
    <w:bookmarkEnd w:id="324"/>
    <w:bookmarkStart w:id="325"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86">
        <w:r>
          <w:rPr>
            <w:rStyle w:val="Hyperlink"/>
          </w:rPr>
          <w:t xml:space="preserve">https://doi.org/10.1080/07315724.2016.1261053</w:t>
        </w:r>
      </w:hyperlink>
    </w:p>
    <w:bookmarkEnd w:id="325"/>
    <w:bookmarkStart w:id="326"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88">
        <w:r>
          <w:rPr>
            <w:rStyle w:val="Hyperlink"/>
          </w:rPr>
          <w:t xml:space="preserve">https://doi.org/10.1192/bjp.bp.114.156620</w:t>
        </w:r>
      </w:hyperlink>
    </w:p>
    <w:bookmarkEnd w:id="326"/>
    <w:bookmarkStart w:id="327" w:name="ref-Pratt2014"/>
    <w:p>
      <w:pPr>
        <w:pStyle w:val="Bibliography"/>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327"/>
    <w:bookmarkStart w:id="328" w:name="ref-R2021"/>
    <w:p>
      <w:pPr>
        <w:pStyle w:val="Bibliography"/>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91">
        <w:r>
          <w:rPr>
            <w:rStyle w:val="Hyperlink"/>
          </w:rPr>
          <w:t xml:space="preserve">https://www.R-project.org/</w:t>
        </w:r>
      </w:hyperlink>
    </w:p>
    <w:bookmarkEnd w:id="328"/>
    <w:bookmarkStart w:id="329"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Cs/>
          <w:i/>
        </w:rPr>
        <w:t xml:space="preserve">Journal of Child Psychology and Psychiatry</w:t>
      </w:r>
      <w:r>
        <w:t xml:space="preserve">,</w:t>
      </w:r>
      <w:r>
        <w:t xml:space="preserve"> </w:t>
      </w:r>
      <w:r>
        <w:rPr>
          <w:iCs/>
          <w:i/>
        </w:rPr>
        <w:t xml:space="preserve">57</w:t>
      </w:r>
      <w:r>
        <w:t xml:space="preserve">(10), 1103–1112.</w:t>
      </w:r>
      <w:r>
        <w:t xml:space="preserve"> </w:t>
      </w:r>
      <w:hyperlink r:id="rId76">
        <w:r>
          <w:rPr>
            <w:rStyle w:val="Hyperlink"/>
          </w:rPr>
          <w:t xml:space="preserve">https://doi.org/10.1111/jcpp.12621</w:t>
        </w:r>
      </w:hyperlink>
    </w:p>
    <w:bookmarkEnd w:id="329"/>
    <w:bookmarkStart w:id="330"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93">
        <w:r>
          <w:rPr>
            <w:rStyle w:val="Hyperlink"/>
          </w:rPr>
          <w:t xml:space="preserve">https://doi.org/10.1080/15592294.2016.1145329</w:t>
        </w:r>
      </w:hyperlink>
    </w:p>
    <w:bookmarkEnd w:id="330"/>
    <w:bookmarkStart w:id="331"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95">
        <w:r>
          <w:rPr>
            <w:rStyle w:val="Hyperlink"/>
          </w:rPr>
          <w:t xml:space="preserve">https://doi.org/10.1111/cdev.13825</w:t>
        </w:r>
      </w:hyperlink>
    </w:p>
    <w:bookmarkEnd w:id="331"/>
    <w:bookmarkStart w:id="332"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97">
        <w:r>
          <w:rPr>
            <w:rStyle w:val="Hyperlink"/>
          </w:rPr>
          <w:t xml:space="preserve">https://doi.org/10.1542/peds.2011-2663</w:t>
        </w:r>
      </w:hyperlink>
    </w:p>
    <w:bookmarkEnd w:id="332"/>
    <w:bookmarkStart w:id="333" w:name="ref-Slopen2014"/>
    <w:p>
      <w:pPr>
        <w:pStyle w:val="Bibliography"/>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199">
        <w:r>
          <w:rPr>
            <w:rStyle w:val="Hyperlink"/>
          </w:rPr>
          <w:t xml:space="preserve">https://doi.org/10.1016/j.jpeds.2013.11.003</w:t>
        </w:r>
      </w:hyperlink>
    </w:p>
    <w:bookmarkEnd w:id="333"/>
    <w:bookmarkStart w:id="334"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on behalf of the. (2023). Depression, cardiometabolic disease, and their co-occurrence after childhood maltreatment: An individual participant data meta-analysis including over 200,000 participants [Journal Article].</w:t>
      </w:r>
      <w:r>
        <w:t xml:space="preserve"> </w:t>
      </w:r>
      <w:r>
        <w:rPr>
          <w:iCs/>
          <w:i/>
        </w:rPr>
        <w:t xml:space="preserve">BMC Medicine</w:t>
      </w:r>
      <w:r>
        <w:t xml:space="preserve">,</w:t>
      </w:r>
      <w:r>
        <w:t xml:space="preserve"> </w:t>
      </w:r>
      <w:r>
        <w:rPr>
          <w:iCs/>
          <w:i/>
        </w:rPr>
        <w:t xml:space="preserve">21</w:t>
      </w:r>
      <w:r>
        <w:t xml:space="preserve">(1), 93.</w:t>
      </w:r>
      <w:r>
        <w:t xml:space="preserve"> </w:t>
      </w:r>
      <w:hyperlink r:id="rId78">
        <w:r>
          <w:rPr>
            <w:rStyle w:val="Hyperlink"/>
          </w:rPr>
          <w:t xml:space="preserve">https://doi.org/10.1186/s12916-023-02769-y</w:t>
        </w:r>
      </w:hyperlink>
    </w:p>
    <w:bookmarkEnd w:id="334"/>
    <w:bookmarkStart w:id="335"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201">
        <w:r>
          <w:rPr>
            <w:rStyle w:val="Hyperlink"/>
          </w:rPr>
          <w:t xml:space="preserve">https://doi.org/10.1136/archdischild-2017-314608</w:t>
        </w:r>
      </w:hyperlink>
    </w:p>
    <w:bookmarkEnd w:id="335"/>
    <w:bookmarkStart w:id="336" w:name="ref-vanBuuren2018"/>
    <w:p>
      <w:pPr>
        <w:pStyle w:val="Bibliography"/>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203">
        <w:r>
          <w:rPr>
            <w:rStyle w:val="Hyperlink"/>
          </w:rPr>
          <w:t xml:space="preserve">https://doi.org/10.1201/9780429492259</w:t>
        </w:r>
      </w:hyperlink>
    </w:p>
    <w:bookmarkEnd w:id="336"/>
    <w:bookmarkStart w:id="337"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205">
        <w:r>
          <w:rPr>
            <w:rStyle w:val="Hyperlink"/>
          </w:rPr>
          <w:t xml:space="preserve">https://doi.org/10.1016/j.neubiorev.2017.07.003</w:t>
        </w:r>
      </w:hyperlink>
    </w:p>
    <w:bookmarkEnd w:id="337"/>
    <w:bookmarkStart w:id="338"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80">
        <w:r>
          <w:rPr>
            <w:rStyle w:val="Hyperlink"/>
          </w:rPr>
          <w:t xml:space="preserve">https://doi.org/10.1002/gps.1723</w:t>
        </w:r>
      </w:hyperlink>
    </w:p>
    <w:bookmarkEnd w:id="338"/>
    <w:bookmarkStart w:id="339"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207">
        <w:r>
          <w:rPr>
            <w:rStyle w:val="Hyperlink"/>
          </w:rPr>
          <w:t xml:space="preserve">https://doi.org/10.1007/s10654-016-0179-x</w:t>
        </w:r>
      </w:hyperlink>
    </w:p>
    <w:bookmarkEnd w:id="339"/>
    <w:bookmarkStart w:id="340" w:name="ref-Wang2015"/>
    <w:p>
      <w:pPr>
        <w:pStyle w:val="Bibliography"/>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209">
        <w:r>
          <w:rPr>
            <w:rStyle w:val="Hyperlink"/>
          </w:rPr>
          <w:t xml:space="preserve">https://doi.org/10.1007/s10654-015-0100-z</w:t>
        </w:r>
      </w:hyperlink>
    </w:p>
    <w:bookmarkEnd w:id="340"/>
    <w:bookmarkStart w:id="341" w:name="ref-WHO2022"/>
    <w:p>
      <w:pPr>
        <w:pStyle w:val="Bibliography"/>
      </w:pPr>
      <w:r>
        <w:t xml:space="preserve">WHO, W. H. O. (2022).</w:t>
      </w:r>
      <w:r>
        <w:t xml:space="preserve"> </w:t>
      </w:r>
      <w:r>
        <w:rPr>
          <w:iCs/>
          <w:i/>
        </w:rPr>
        <w:t xml:space="preserve">WHO european regional obesity report 2022</w:t>
      </w:r>
      <w:r>
        <w:t xml:space="preserve"> </w:t>
      </w:r>
      <w:r>
        <w:t xml:space="preserve">[Book]. World Health Organization. Regional Office for Europe.</w:t>
      </w:r>
    </w:p>
    <w:bookmarkEnd w:id="341"/>
    <w:bookmarkStart w:id="342"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83">
        <w:r>
          <w:rPr>
            <w:rStyle w:val="Hyperlink"/>
          </w:rPr>
          <w:t xml:space="preserve">https://doi.org/10.1016/j.physbeh.2020.112964</w:t>
        </w:r>
      </w:hyperlink>
    </w:p>
    <w:bookmarkEnd w:id="342"/>
    <w:bookmarkStart w:id="343"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211">
        <w:r>
          <w:rPr>
            <w:rStyle w:val="Hyperlink"/>
          </w:rPr>
          <w:t xml:space="preserve">https://doi.org/10.1016/j.cpr.2016.10.003</w:t>
        </w:r>
      </w:hyperlink>
    </w:p>
    <w:bookmarkEnd w:id="343"/>
    <w:bookmarkStart w:id="344"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85">
        <w:r>
          <w:rPr>
            <w:rStyle w:val="Hyperlink"/>
          </w:rPr>
          <w:t xml:space="preserve">https://doi.org/10.1016/j.jacasi.2024.06.004</w:t>
        </w:r>
      </w:hyperlink>
    </w:p>
    <w:bookmarkEnd w:id="344"/>
    <w:bookmarkStart w:id="345"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87">
        <w:r>
          <w:rPr>
            <w:rStyle w:val="Hyperlink"/>
          </w:rPr>
          <w:t xml:space="preserve">https://doi.org/10.7189/jogh.12.04082</w:t>
        </w:r>
      </w:hyperlink>
    </w:p>
    <w:bookmarkEnd w:id="345"/>
    <w:bookmarkEnd w:id="346"/>
    <w:bookmarkEnd w:id="347"/>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10842185"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24"/>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102" Target="media/rId102.pdf" /><Relationship Type="http://schemas.openxmlformats.org/officeDocument/2006/relationships/image" Id="rId120" Target="media/rId120.pdf" /><Relationship Type="http://schemas.openxmlformats.org/officeDocument/2006/relationships/image" Id="rId125" Target="media/rId125.pdf" /><Relationship Type="http://schemas.openxmlformats.org/officeDocument/2006/relationships/image" Id="rId130" Target="media/rId130.pdf" /><Relationship Type="http://schemas.openxmlformats.org/officeDocument/2006/relationships/hyperlink" Id="rId94" Target="" TargetMode="External" /><Relationship Type="http://schemas.openxmlformats.org/officeDocument/2006/relationships/hyperlink" Id="rId99"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64" Target="https://doi.org/10.1001/jamapediatrics.2024.4385" TargetMode="External" /><Relationship Type="http://schemas.openxmlformats.org/officeDocument/2006/relationships/hyperlink" Id="rId80" Target="https://doi.org/10.1002/gps.1723" TargetMode="External" /><Relationship Type="http://schemas.openxmlformats.org/officeDocument/2006/relationships/hyperlink" Id="rId160" Target="https://doi.org/10.1002/oby.21797" TargetMode="External" /><Relationship Type="http://schemas.openxmlformats.org/officeDocument/2006/relationships/hyperlink" Id="rId209" Target="https://doi.org/10.1007/s10654-015-0100-z" TargetMode="External" /><Relationship Type="http://schemas.openxmlformats.org/officeDocument/2006/relationships/hyperlink" Id="rId207" Target="https://doi.org/10.1007/s10654-016-0179-x" TargetMode="External" /><Relationship Type="http://schemas.openxmlformats.org/officeDocument/2006/relationships/hyperlink" Id="rId180" Target="https://doi.org/10.1007/s10654-016-0224-9" TargetMode="External" /><Relationship Type="http://schemas.openxmlformats.org/officeDocument/2006/relationships/hyperlink" Id="rId51" Target="https://doi.org/10.1007/s40653-021-00404-7" TargetMode="External" /><Relationship Type="http://schemas.openxmlformats.org/officeDocument/2006/relationships/hyperlink" Id="rId145"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153" Target="https://doi.org/10.1016/j.chiabu.2016.11.024" TargetMode="External" /><Relationship Type="http://schemas.openxmlformats.org/officeDocument/2006/relationships/hyperlink" Id="rId211" Target="https://doi.org/10.1016/j.cpr.2016.10.003"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58" Target="https://doi.org/10.1016/j.jclinepi.2007.11.008" TargetMode="External" /><Relationship Type="http://schemas.openxmlformats.org/officeDocument/2006/relationships/hyperlink" Id="rId199" Target="https://doi.org/10.1016/j.jpeds.2013.11.003" TargetMode="External" /><Relationship Type="http://schemas.openxmlformats.org/officeDocument/2006/relationships/hyperlink" Id="rId205" Target="https://doi.org/10.1016/j.neubiorev.2017.07.003" TargetMode="External" /><Relationship Type="http://schemas.openxmlformats.org/officeDocument/2006/relationships/hyperlink" Id="rId83" Target="https://doi.org/10.1016/j.physbeh.2020.112964" TargetMode="External" /><Relationship Type="http://schemas.openxmlformats.org/officeDocument/2006/relationships/hyperlink" Id="rId216"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55" Target="https://doi.org/10.1017/S0033291721004311" TargetMode="External" /><Relationship Type="http://schemas.openxmlformats.org/officeDocument/2006/relationships/hyperlink" Id="rId58" Target="https://doi.org/10.1017/s0033291715002743" TargetMode="External" /><Relationship Type="http://schemas.openxmlformats.org/officeDocument/2006/relationships/hyperlink" Id="rId178" Target="https://doi.org/10.1017/s0954579416000730" TargetMode="External" /><Relationship Type="http://schemas.openxmlformats.org/officeDocument/2006/relationships/hyperlink" Id="rId174" Target="https://doi.org/10.1017/s0954579418000548" TargetMode="External" /><Relationship Type="http://schemas.openxmlformats.org/officeDocument/2006/relationships/hyperlink" Id="rId170"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51" Target="https://doi.org/10.1038/mp.2014.95" TargetMode="External" /><Relationship Type="http://schemas.openxmlformats.org/officeDocument/2006/relationships/hyperlink" Id="rId149"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186" Target="https://doi.org/10.1080/07315724.2016.1261053" TargetMode="External" /><Relationship Type="http://schemas.openxmlformats.org/officeDocument/2006/relationships/hyperlink" Id="rId193" Target="https://doi.org/10.1080/15592294.2016.1145329" TargetMode="External" /><Relationship Type="http://schemas.openxmlformats.org/officeDocument/2006/relationships/hyperlink" Id="rId172" Target="https://doi.org/10.1093/eurheartj/eht462" TargetMode="External" /><Relationship Type="http://schemas.openxmlformats.org/officeDocument/2006/relationships/hyperlink" Id="rId147" Target="https://doi.org/10.1093/ije/dys064" TargetMode="External" /><Relationship Type="http://schemas.openxmlformats.org/officeDocument/2006/relationships/hyperlink" Id="rId166"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162" Target="https://doi.org/10.1097/MCO.0b013e32835e8d80" TargetMode="External" /><Relationship Type="http://schemas.openxmlformats.org/officeDocument/2006/relationships/hyperlink" Id="rId195" Target="https://doi.org/10.1111/cdev.13825" TargetMode="External" /><Relationship Type="http://schemas.openxmlformats.org/officeDocument/2006/relationships/hyperlink" Id="rId176"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01" Target="https://doi.org/10.1136/archdischild-2017-314608" TargetMode="External" /><Relationship Type="http://schemas.openxmlformats.org/officeDocument/2006/relationships/hyperlink" Id="rId183" Target="https://doi.org/10.1152/ajpregu.00185.2016" TargetMode="External" /><Relationship Type="http://schemas.openxmlformats.org/officeDocument/2006/relationships/hyperlink" Id="rId164" Target="https://doi.org/10.1155/2012/632548" TargetMode="External" /><Relationship Type="http://schemas.openxmlformats.org/officeDocument/2006/relationships/hyperlink" Id="rId60" Target="https://doi.org/10.1177/15248380221102558" TargetMode="External" /><Relationship Type="http://schemas.openxmlformats.org/officeDocument/2006/relationships/hyperlink" Id="rId78" Target="https://doi.org/10.1186/s12916-023-02769-y" TargetMode="External" /><Relationship Type="http://schemas.openxmlformats.org/officeDocument/2006/relationships/hyperlink" Id="rId188" Target="https://doi.org/10.1192/bjp.bp.114.156620" TargetMode="External" /><Relationship Type="http://schemas.openxmlformats.org/officeDocument/2006/relationships/hyperlink" Id="rId203" Target="https://doi.org/10.1201/9780429492259" TargetMode="External" /><Relationship Type="http://schemas.openxmlformats.org/officeDocument/2006/relationships/hyperlink" Id="rId197" Target="https://doi.org/10.1542/peds.2011-2663" TargetMode="External" /><Relationship Type="http://schemas.openxmlformats.org/officeDocument/2006/relationships/hyperlink" Id="rId34" Target="https://doi.org/10.30773/pi.2020.0099" TargetMode="External" /><Relationship Type="http://schemas.openxmlformats.org/officeDocument/2006/relationships/hyperlink" Id="rId87" Target="https://doi.org/10.7189/jogh.12.04082" TargetMode="External" /><Relationship Type="http://schemas.openxmlformats.org/officeDocument/2006/relationships/hyperlink" Id="rId93" Target="https://github.com/SereDef/association-ELS-PCM-project" TargetMode="External" /><Relationship Type="http://schemas.openxmlformats.org/officeDocument/2006/relationships/hyperlink" Id="rId95" Target="https://github.com/SereDef/cumulative-ELS-score" TargetMode="External" /><Relationship Type="http://schemas.openxmlformats.org/officeDocument/2006/relationships/hyperlink" Id="rId19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94" Target="" TargetMode="External" /><Relationship Type="http://schemas.openxmlformats.org/officeDocument/2006/relationships/hyperlink" Id="rId99"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64" Target="https://doi.org/10.1001/jamapediatrics.2024.4385" TargetMode="External" /><Relationship Type="http://schemas.openxmlformats.org/officeDocument/2006/relationships/hyperlink" Id="rId80" Target="https://doi.org/10.1002/gps.1723" TargetMode="External" /><Relationship Type="http://schemas.openxmlformats.org/officeDocument/2006/relationships/hyperlink" Id="rId160" Target="https://doi.org/10.1002/oby.21797" TargetMode="External" /><Relationship Type="http://schemas.openxmlformats.org/officeDocument/2006/relationships/hyperlink" Id="rId209" Target="https://doi.org/10.1007/s10654-015-0100-z" TargetMode="External" /><Relationship Type="http://schemas.openxmlformats.org/officeDocument/2006/relationships/hyperlink" Id="rId207" Target="https://doi.org/10.1007/s10654-016-0179-x" TargetMode="External" /><Relationship Type="http://schemas.openxmlformats.org/officeDocument/2006/relationships/hyperlink" Id="rId180" Target="https://doi.org/10.1007/s10654-016-0224-9" TargetMode="External" /><Relationship Type="http://schemas.openxmlformats.org/officeDocument/2006/relationships/hyperlink" Id="rId51" Target="https://doi.org/10.1007/s40653-021-00404-7" TargetMode="External" /><Relationship Type="http://schemas.openxmlformats.org/officeDocument/2006/relationships/hyperlink" Id="rId145"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153" Target="https://doi.org/10.1016/j.chiabu.2016.11.024" TargetMode="External" /><Relationship Type="http://schemas.openxmlformats.org/officeDocument/2006/relationships/hyperlink" Id="rId211" Target="https://doi.org/10.1016/j.cpr.2016.10.003"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58" Target="https://doi.org/10.1016/j.jclinepi.2007.11.008" TargetMode="External" /><Relationship Type="http://schemas.openxmlformats.org/officeDocument/2006/relationships/hyperlink" Id="rId199" Target="https://doi.org/10.1016/j.jpeds.2013.11.003" TargetMode="External" /><Relationship Type="http://schemas.openxmlformats.org/officeDocument/2006/relationships/hyperlink" Id="rId205" Target="https://doi.org/10.1016/j.neubiorev.2017.07.003" TargetMode="External" /><Relationship Type="http://schemas.openxmlformats.org/officeDocument/2006/relationships/hyperlink" Id="rId83" Target="https://doi.org/10.1016/j.physbeh.2020.112964" TargetMode="External" /><Relationship Type="http://schemas.openxmlformats.org/officeDocument/2006/relationships/hyperlink" Id="rId216"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55" Target="https://doi.org/10.1017/S0033291721004311" TargetMode="External" /><Relationship Type="http://schemas.openxmlformats.org/officeDocument/2006/relationships/hyperlink" Id="rId58" Target="https://doi.org/10.1017/s0033291715002743" TargetMode="External" /><Relationship Type="http://schemas.openxmlformats.org/officeDocument/2006/relationships/hyperlink" Id="rId178" Target="https://doi.org/10.1017/s0954579416000730" TargetMode="External" /><Relationship Type="http://schemas.openxmlformats.org/officeDocument/2006/relationships/hyperlink" Id="rId174" Target="https://doi.org/10.1017/s0954579418000548" TargetMode="External" /><Relationship Type="http://schemas.openxmlformats.org/officeDocument/2006/relationships/hyperlink" Id="rId170"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51" Target="https://doi.org/10.1038/mp.2014.95" TargetMode="External" /><Relationship Type="http://schemas.openxmlformats.org/officeDocument/2006/relationships/hyperlink" Id="rId149"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186" Target="https://doi.org/10.1080/07315724.2016.1261053" TargetMode="External" /><Relationship Type="http://schemas.openxmlformats.org/officeDocument/2006/relationships/hyperlink" Id="rId193" Target="https://doi.org/10.1080/15592294.2016.1145329" TargetMode="External" /><Relationship Type="http://schemas.openxmlformats.org/officeDocument/2006/relationships/hyperlink" Id="rId172" Target="https://doi.org/10.1093/eurheartj/eht462" TargetMode="External" /><Relationship Type="http://schemas.openxmlformats.org/officeDocument/2006/relationships/hyperlink" Id="rId147" Target="https://doi.org/10.1093/ije/dys064" TargetMode="External" /><Relationship Type="http://schemas.openxmlformats.org/officeDocument/2006/relationships/hyperlink" Id="rId166"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162" Target="https://doi.org/10.1097/MCO.0b013e32835e8d80" TargetMode="External" /><Relationship Type="http://schemas.openxmlformats.org/officeDocument/2006/relationships/hyperlink" Id="rId195" Target="https://doi.org/10.1111/cdev.13825" TargetMode="External" /><Relationship Type="http://schemas.openxmlformats.org/officeDocument/2006/relationships/hyperlink" Id="rId176"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01" Target="https://doi.org/10.1136/archdischild-2017-314608" TargetMode="External" /><Relationship Type="http://schemas.openxmlformats.org/officeDocument/2006/relationships/hyperlink" Id="rId183" Target="https://doi.org/10.1152/ajpregu.00185.2016" TargetMode="External" /><Relationship Type="http://schemas.openxmlformats.org/officeDocument/2006/relationships/hyperlink" Id="rId164" Target="https://doi.org/10.1155/2012/632548" TargetMode="External" /><Relationship Type="http://schemas.openxmlformats.org/officeDocument/2006/relationships/hyperlink" Id="rId60" Target="https://doi.org/10.1177/15248380221102558" TargetMode="External" /><Relationship Type="http://schemas.openxmlformats.org/officeDocument/2006/relationships/hyperlink" Id="rId78" Target="https://doi.org/10.1186/s12916-023-02769-y" TargetMode="External" /><Relationship Type="http://schemas.openxmlformats.org/officeDocument/2006/relationships/hyperlink" Id="rId188" Target="https://doi.org/10.1192/bjp.bp.114.156620" TargetMode="External" /><Relationship Type="http://schemas.openxmlformats.org/officeDocument/2006/relationships/hyperlink" Id="rId203" Target="https://doi.org/10.1201/9780429492259" TargetMode="External" /><Relationship Type="http://schemas.openxmlformats.org/officeDocument/2006/relationships/hyperlink" Id="rId197" Target="https://doi.org/10.1542/peds.2011-2663" TargetMode="External" /><Relationship Type="http://schemas.openxmlformats.org/officeDocument/2006/relationships/hyperlink" Id="rId34" Target="https://doi.org/10.30773/pi.2020.0099" TargetMode="External" /><Relationship Type="http://schemas.openxmlformats.org/officeDocument/2006/relationships/hyperlink" Id="rId87" Target="https://doi.org/10.7189/jogh.12.04082" TargetMode="External" /><Relationship Type="http://schemas.openxmlformats.org/officeDocument/2006/relationships/hyperlink" Id="rId93" Target="https://github.com/SereDef/association-ELS-PCM-project" TargetMode="External" /><Relationship Type="http://schemas.openxmlformats.org/officeDocument/2006/relationships/hyperlink" Id="rId95" Target="https://github.com/SereDef/cumulative-ELS-score" TargetMode="External" /><Relationship Type="http://schemas.openxmlformats.org/officeDocument/2006/relationships/hyperlink" Id="rId19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2025-04-24T13:05:57Z</dcterms:created>
  <dcterms:modified xsi:type="dcterms:W3CDTF">2025-04-24T13:05:57Z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reference-section-title">
    <vt:lpwstr>References</vt:lpwstr>
  </property>
  <property fmtid="{D5CDD505-2E9C-101B-9397-08002B2CF9AE}" pid="15" name="subtitle">
    <vt:lpwstr>Early-life stress exposure and the co-occurrence of mental and physical health problems</vt:lpwstr>
  </property>
  <property fmtid="{D5CDD505-2E9C-101B-9397-08002B2CF9AE}" pid="16" name="template-partials">
    <vt:lpwstr/>
  </property>
  <property fmtid="{D5CDD505-2E9C-101B-9397-08002B2CF9AE}" pid="17" name="toc-title">
    <vt:lpwstr>Table of contents</vt:lpwstr>
  </property>
</Properties>
</file>